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6"/>
        </w:rPr>
        <w:t>LESSINGER RACING FOIL</w:t>
      </w:r>
    </w:p>
    <w:p>
      <w:pPr>
        <w:jc w:val="center"/>
      </w:pPr>
      <w:r>
        <w:rPr>
          <w:i/>
          <w:sz w:val="28"/>
        </w:rPr>
        <w:t>Synthèse du chat – Levée de fonds Private Investor à Dubaï</w:t>
      </w:r>
    </w:p>
    <w:p>
      <w:pPr>
        <w:jc w:val="center"/>
      </w:pPr>
      <w:r>
        <w:rPr>
          <w:b/>
        </w:rPr>
        <w:t>Hypothèse de levée : 1,8 M€ • 30 % du capital • Pre-money : 4,2 M€ • Post-money : 6,0 M€</w:t>
      </w:r>
    </w:p>
    <w:p>
      <w:r>
        <w:t>Document compilé à partir des échanges consacrés au projet de motorboat hydrofoil électrique de luxe, à son industrialisation en Chine et à une levée de fonds auprès d’un private investor aux Émirats arabes unis.</w:t>
      </w:r>
    </w:p>
    <w:p>
      <w:pPr>
        <w:pStyle w:val="Heading1"/>
      </w:pPr>
      <w:r>
        <w:t>1. Avis initial sur la levée à Dubaï</w:t>
      </w:r>
    </w:p>
    <w:p>
      <w:r>
        <w:t>Dubaï et les Émirats constituent un environnement cohérent pour rechercher des capitaux privés pour un projet associant nautisme, luxe, mobilité électrique et technologie hydrofoil. Une levée de 2 à 5 M€ n’est toutefois pas « facile », surtout avant prototype. Le projet devient nettement plus investissable lorsque le dossier comprend une architecture technique, des partenaires industriels, un prototype navigant, une stratégie de certification et des intentions de commande.</w:t>
      </w:r>
    </w:p>
    <w:p>
      <w:r>
        <w:t>Estimation de travail évoquée dans le chat : avec seulement une idée, des rendus et un business plan, la probabilité de lever ≥2 M€ a été estimée faible (environ 5–10 %). Avec prototype fonctionnel, industrialisation documentée et premières preuves commerciales, elle pourrait devenir sensiblement supérieure. Ces pourcentages étaient des estimations d’investissabilité, non des statistiques vérifiées.</w:t>
      </w:r>
    </w:p>
    <w:p>
      <w:pPr>
        <w:pStyle w:val="Heading1"/>
      </w:pPr>
      <w:r>
        <w:t>2. Stratégie de financement retenue</w:t>
      </w:r>
    </w:p>
    <w:p>
      <w:r>
        <w:t>La stratégie a été recentrée sur une première levée plus raisonnable de 1,5 à 2,0 M€, destinée à financer l’ingénierie, les prototypes, l’outillage, la certification, l’industrialisation chinoise et le lancement commercial à Dubaï. Le point central retenu est une levée de 1,8 M€.</w:t>
      </w:r>
    </w:p>
    <w:tbl>
      <w:tblPr>
        <w:tblStyle w:val="TableGrid"/>
        <w:tblW w:type="auto" w:w="0"/>
        <w:jc w:val="center"/>
        <w:tblLook w:firstColumn="1" w:firstRow="1" w:lastColumn="0" w:lastRow="0" w:noHBand="0" w:noVBand="1" w:val="04A0"/>
      </w:tblPr>
      <w:tblGrid>
        <w:gridCol w:w="3360"/>
        <w:gridCol w:w="3360"/>
        <w:gridCol w:w="3360"/>
      </w:tblGrid>
      <w:tr>
        <w:tc>
          <w:tcPr>
            <w:tcW w:type="dxa" w:w="3360"/>
          </w:tcPr>
          <w:p>
            <w:r>
              <w:t>Élément</w:t>
            </w:r>
          </w:p>
        </w:tc>
        <w:tc>
          <w:tcPr>
            <w:tcW w:type="dxa" w:w="3360"/>
          </w:tcPr>
          <w:p>
            <w:r>
              <w:t>Montant / part</w:t>
            </w:r>
          </w:p>
        </w:tc>
        <w:tc>
          <w:tcPr>
            <w:tcW w:type="dxa" w:w="3360"/>
          </w:tcPr>
          <w:p>
            <w:r>
              <w:t>Calcul</w:t>
            </w:r>
          </w:p>
        </w:tc>
      </w:tr>
      <w:tr>
        <w:tc>
          <w:tcPr>
            <w:tcW w:type="dxa" w:w="3360"/>
          </w:tcPr>
          <w:p>
            <w:r>
              <w:t>Valorisation pre-money</w:t>
            </w:r>
          </w:p>
        </w:tc>
        <w:tc>
          <w:tcPr>
            <w:tcW w:type="dxa" w:w="3360"/>
          </w:tcPr>
          <w:p>
            <w:r>
              <w:t>4,20 M€</w:t>
            </w:r>
          </w:p>
        </w:tc>
        <w:tc>
          <w:tcPr>
            <w:tcW w:type="dxa" w:w="3360"/>
          </w:tcPr>
          <w:p>
            <w:r>
              <w:t>Valeur avant investissement</w:t>
            </w:r>
          </w:p>
        </w:tc>
      </w:tr>
      <w:tr>
        <w:tc>
          <w:tcPr>
            <w:tcW w:type="dxa" w:w="3360"/>
          </w:tcPr>
          <w:p>
            <w:r>
              <w:t>Investissement</w:t>
            </w:r>
          </w:p>
        </w:tc>
        <w:tc>
          <w:tcPr>
            <w:tcW w:type="dxa" w:w="3360"/>
          </w:tcPr>
          <w:p>
            <w:r>
              <w:t>1,80 M€</w:t>
            </w:r>
          </w:p>
        </w:tc>
        <w:tc>
          <w:tcPr>
            <w:tcW w:type="dxa" w:w="3360"/>
          </w:tcPr>
          <w:p>
            <w:r>
              <w:t>Capital nouveau</w:t>
            </w:r>
          </w:p>
        </w:tc>
      </w:tr>
      <w:tr>
        <w:tc>
          <w:tcPr>
            <w:tcW w:type="dxa" w:w="3360"/>
          </w:tcPr>
          <w:p>
            <w:r>
              <w:t>Valorisation post-money</w:t>
            </w:r>
          </w:p>
        </w:tc>
        <w:tc>
          <w:tcPr>
            <w:tcW w:type="dxa" w:w="3360"/>
          </w:tcPr>
          <w:p>
            <w:r>
              <w:t>6,00 M€</w:t>
            </w:r>
          </w:p>
        </w:tc>
        <w:tc>
          <w:tcPr>
            <w:tcW w:type="dxa" w:w="3360"/>
          </w:tcPr>
          <w:p>
            <w:r>
              <w:t>4,20 + 1,80</w:t>
            </w:r>
          </w:p>
        </w:tc>
      </w:tr>
      <w:tr>
        <w:tc>
          <w:tcPr>
            <w:tcW w:type="dxa" w:w="3360"/>
          </w:tcPr>
          <w:p>
            <w:r>
              <w:t>Private investor</w:t>
            </w:r>
          </w:p>
        </w:tc>
        <w:tc>
          <w:tcPr>
            <w:tcW w:type="dxa" w:w="3360"/>
          </w:tcPr>
          <w:p>
            <w:r>
              <w:t>30 %</w:t>
            </w:r>
          </w:p>
        </w:tc>
        <w:tc>
          <w:tcPr>
            <w:tcW w:type="dxa" w:w="3360"/>
          </w:tcPr>
          <w:p>
            <w:r>
              <w:t>1,80 / 6,00</w:t>
            </w:r>
          </w:p>
        </w:tc>
      </w:tr>
      <w:tr>
        <w:tc>
          <w:tcPr>
            <w:tcW w:type="dxa" w:w="3360"/>
          </w:tcPr>
          <w:p>
            <w:r>
              <w:t>Fondateurs/actionnaires existants</w:t>
            </w:r>
          </w:p>
        </w:tc>
        <w:tc>
          <w:tcPr>
            <w:tcW w:type="dxa" w:w="3360"/>
          </w:tcPr>
          <w:p>
            <w:r>
              <w:t>70 %</w:t>
            </w:r>
          </w:p>
        </w:tc>
        <w:tc>
          <w:tcPr>
            <w:tcW w:type="dxa" w:w="3360"/>
          </w:tcPr>
          <w:p>
            <w:r>
              <w:t>Après dilution</w:t>
            </w:r>
          </w:p>
        </w:tc>
      </w:tr>
    </w:tbl>
    <w:p>
      <w:r>
        <w:t>Conclusion de l’échange : cette structure est mathématiquement cohérente. La valorisation pre-money de 4,2 M€ reste à défendre commercialement : elle est plus crédible avec IP sécurisée, études techniques, fournisseurs, devis, équipe d’ingénierie et premières LOI/précommandes. Une participation de 30 % a été considérée comme un plafond de négociation raisonnable pour ce premier tour.</w:t>
      </w:r>
    </w:p>
    <w:p>
      <w:pPr>
        <w:pStyle w:val="Heading1"/>
      </w:pPr>
      <w:r>
        <w:t>3. Concept technique de référence</w:t>
      </w:r>
    </w:p>
    <w:p>
      <w:r>
        <w:t>Le concept envisagé est un runabout/motorboat hydrofoil électrique de luxe, à forte identité visuelle, destiné notamment aux marchés de Dubaï, Monaco, Côte d’Azur, Miami, Ibiza et autres destinations premium.</w:t>
      </w:r>
    </w:p>
    <w:tbl>
      <w:tblPr>
        <w:tblStyle w:val="TableGrid"/>
        <w:tblW w:type="auto" w:w="0"/>
        <w:jc w:val="center"/>
        <w:tblLook w:firstColumn="1" w:firstRow="1" w:lastColumn="0" w:lastRow="0" w:noHBand="0" w:noVBand="1" w:val="04A0"/>
      </w:tblPr>
      <w:tblGrid>
        <w:gridCol w:w="5040"/>
        <w:gridCol w:w="5040"/>
      </w:tblGrid>
      <w:tr>
        <w:tc>
          <w:tcPr>
            <w:tcW w:type="dxa" w:w="5040"/>
          </w:tcPr>
          <w:p>
            <w:r>
              <w:t>Caractéristique</w:t>
            </w:r>
          </w:p>
        </w:tc>
        <w:tc>
          <w:tcPr>
            <w:tcW w:type="dxa" w:w="5040"/>
          </w:tcPr>
          <w:p>
            <w:r>
              <w:t>Cible de développement</w:t>
            </w:r>
          </w:p>
        </w:tc>
      </w:tr>
      <w:tr>
        <w:tc>
          <w:tcPr>
            <w:tcW w:type="dxa" w:w="5040"/>
          </w:tcPr>
          <w:p>
            <w:r>
              <w:t>Longueur cible</w:t>
            </w:r>
          </w:p>
        </w:tc>
        <w:tc>
          <w:tcPr>
            <w:tcW w:type="dxa" w:w="5040"/>
          </w:tcPr>
          <w:p>
            <w:r>
              <w:t>8,0–8,5 m</w:t>
            </w:r>
          </w:p>
        </w:tc>
      </w:tr>
      <w:tr>
        <w:tc>
          <w:tcPr>
            <w:tcW w:type="dxa" w:w="5040"/>
          </w:tcPr>
          <w:p>
            <w:r>
              <w:t>Largeur cible</w:t>
            </w:r>
          </w:p>
        </w:tc>
        <w:tc>
          <w:tcPr>
            <w:tcW w:type="dxa" w:w="5040"/>
          </w:tcPr>
          <w:p>
            <w:r>
              <w:t>2,4–2,5 m</w:t>
            </w:r>
          </w:p>
        </w:tc>
      </w:tr>
      <w:tr>
        <w:tc>
          <w:tcPr>
            <w:tcW w:type="dxa" w:w="5040"/>
          </w:tcPr>
          <w:p>
            <w:r>
              <w:t>Capacité</w:t>
            </w:r>
          </w:p>
        </w:tc>
        <w:tc>
          <w:tcPr>
            <w:tcW w:type="dxa" w:w="5040"/>
          </w:tcPr>
          <w:p>
            <w:r>
              <w:t>5–6 passagers pour la version principale</w:t>
            </w:r>
          </w:p>
        </w:tc>
      </w:tr>
      <w:tr>
        <w:tc>
          <w:tcPr>
            <w:tcW w:type="dxa" w:w="5040"/>
          </w:tcPr>
          <w:p>
            <w:r>
              <w:t>Poids cible</w:t>
            </w:r>
          </w:p>
        </w:tc>
        <w:tc>
          <w:tcPr>
            <w:tcW w:type="dxa" w:w="5040"/>
          </w:tcPr>
          <w:p>
            <w:r>
              <w:t>1 700–2 000 kg</w:t>
            </w:r>
          </w:p>
        </w:tc>
      </w:tr>
      <w:tr>
        <w:tc>
          <w:tcPr>
            <w:tcW w:type="dxa" w:w="5040"/>
          </w:tcPr>
          <w:p>
            <w:r>
              <w:t>Structure</w:t>
            </w:r>
          </w:p>
        </w:tc>
        <w:tc>
          <w:tcPr>
            <w:tcW w:type="dxa" w:w="5040"/>
          </w:tcPr>
          <w:p>
            <w:r>
              <w:t>Composite carbone/verre</w:t>
            </w:r>
          </w:p>
        </w:tc>
      </w:tr>
      <w:tr>
        <w:tc>
          <w:tcPr>
            <w:tcW w:type="dxa" w:w="5040"/>
          </w:tcPr>
          <w:p>
            <w:r>
              <w:t>Foils</w:t>
            </w:r>
          </w:p>
        </w:tc>
        <w:tc>
          <w:tcPr>
            <w:tcW w:type="dxa" w:w="5040"/>
          </w:tcPr>
          <w:p>
            <w:r>
              <w:t>Carbone, idéalement rétractables</w:t>
            </w:r>
          </w:p>
        </w:tc>
      </w:tr>
      <w:tr>
        <w:tc>
          <w:tcPr>
            <w:tcW w:type="dxa" w:w="5040"/>
          </w:tcPr>
          <w:p>
            <w:r>
              <w:t>Batterie</w:t>
            </w:r>
          </w:p>
        </w:tc>
        <w:tc>
          <w:tcPr>
            <w:tcW w:type="dxa" w:w="5040"/>
          </w:tcPr>
          <w:p>
            <w:r>
              <w:t>70–85 kWh</w:t>
            </w:r>
          </w:p>
        </w:tc>
      </w:tr>
      <w:tr>
        <w:tc>
          <w:tcPr>
            <w:tcW w:type="dxa" w:w="5040"/>
          </w:tcPr>
          <w:p>
            <w:r>
              <w:t>Propulsion</w:t>
            </w:r>
          </w:p>
        </w:tc>
        <w:tc>
          <w:tcPr>
            <w:tcW w:type="dxa" w:w="5040"/>
          </w:tcPr>
          <w:p>
            <w:r>
              <w:t>50–80 kW</w:t>
            </w:r>
          </w:p>
        </w:tc>
      </w:tr>
      <w:tr>
        <w:tc>
          <w:tcPr>
            <w:tcW w:type="dxa" w:w="5040"/>
          </w:tcPr>
          <w:p>
            <w:r>
              <w:t>Croisière sur foils</w:t>
            </w:r>
          </w:p>
        </w:tc>
        <w:tc>
          <w:tcPr>
            <w:tcW w:type="dxa" w:w="5040"/>
          </w:tcPr>
          <w:p>
            <w:r>
              <w:t>20–22 nœuds, objectif</w:t>
            </w:r>
          </w:p>
        </w:tc>
      </w:tr>
      <w:tr>
        <w:tc>
          <w:tcPr>
            <w:tcW w:type="dxa" w:w="5040"/>
          </w:tcPr>
          <w:p>
            <w:r>
              <w:t>Vitesse maximale</w:t>
            </w:r>
          </w:p>
        </w:tc>
        <w:tc>
          <w:tcPr>
            <w:tcW w:type="dxa" w:w="5040"/>
          </w:tcPr>
          <w:p>
            <w:r>
              <w:t>27–30 nœuds, objectif</w:t>
            </w:r>
          </w:p>
        </w:tc>
      </w:tr>
      <w:tr>
        <w:tc>
          <w:tcPr>
            <w:tcW w:type="dxa" w:w="5040"/>
          </w:tcPr>
          <w:p>
            <w:r>
              <w:t>Autonomie</w:t>
            </w:r>
          </w:p>
        </w:tc>
        <w:tc>
          <w:tcPr>
            <w:tcW w:type="dxa" w:w="5040"/>
          </w:tcPr>
          <w:p>
            <w:r>
              <w:t>45–60 NM, objectif</w:t>
            </w:r>
          </w:p>
        </w:tc>
      </w:tr>
      <w:tr>
        <w:tc>
          <w:tcPr>
            <w:tcW w:type="dxa" w:w="5040"/>
          </w:tcPr>
          <w:p>
            <w:r>
              <w:t>Recharge</w:t>
            </w:r>
          </w:p>
        </w:tc>
        <w:tc>
          <w:tcPr>
            <w:tcW w:type="dxa" w:w="5040"/>
          </w:tcPr>
          <w:p>
            <w:r>
              <w:t>AC 11–22 kW ; DC rapide à étudier</w:t>
            </w:r>
          </w:p>
        </w:tc>
      </w:tr>
    </w:tbl>
    <w:p>
      <w:r>
        <w:t>Important : les performances ci-dessus sont des objectifs d’ingénierie et devront être validées par calculs hydrodynamiques/CFD, architecture de masse, essais et certification. Elles ne doivent pas être présentées comme des performances garanties avant validation du prototype.</w:t>
      </w:r>
    </w:p>
    <w:p>
      <w:pPr>
        <w:pStyle w:val="Heading1"/>
      </w:pPr>
      <w:r>
        <w:t>4. Industrialisation et fournisseurs envisagés</w:t>
      </w:r>
    </w:p>
    <w:p>
      <w:r>
        <w:t>La stratégie proposée consiste à utiliser la Chine pour la coque, les composites, le mobilier, la sellerie, l’inox, le câblage, l’assemblage et éventuellement une partie de la chaîne de propulsion, tout en conservant la maîtrise contractuelle de l’architecture hydrodynamique, des foils, du contrôle de vol et de la propriété intellectuelle.</w:t>
      </w:r>
    </w:p>
    <w:p>
      <w:pPr>
        <w:pStyle w:val="ListBullet"/>
      </w:pPr>
      <w:r>
        <w:t>ePropulsion : piste étudiée pour propulsion électrique et batteries.</w:t>
      </w:r>
    </w:p>
    <w:p>
      <w:pPr>
        <w:pStyle w:val="ListBullet"/>
      </w:pPr>
      <w:r>
        <w:t>Sinocean HT / Utopia Boats : piste de chantier/OEM à auditer pour fabrication sur mesure.</w:t>
      </w:r>
    </w:p>
    <w:p>
      <w:pPr>
        <w:pStyle w:val="ListBullet"/>
      </w:pPr>
      <w:r>
        <w:t>Liya : piste supplémentaire pour benchmarking de fabrication FRP/aluminium et OEM.</w:t>
      </w:r>
    </w:p>
    <w:p>
      <w:r>
        <w:t>Ces sociétés ont été évoquées comme pistes à investiguer, et non comme fournisseurs sélectionnés. Un appel d’offres, un audit industriel et des devis formels restent nécessaires.</w:t>
      </w:r>
    </w:p>
    <w:p>
      <w:pPr>
        <w:pStyle w:val="Heading1"/>
      </w:pPr>
      <w:r>
        <w:t>5. Coût de production estimatif</w:t>
      </w:r>
    </w:p>
    <w:p>
      <w:r>
        <w:t>Après comparaison avec le Foil.One Pegasus, le modèle financier a été affiné. Le Pegasus est beaucoup plus petit que le projet LESSINGER ; il sert donc uniquement de benchmark de marché et non de base de multiplication directe.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tcPr>
          <w:p>
            <w:r>
              <w:t>Poste</w:t>
            </w:r>
          </w:p>
        </w:tc>
        <w:tc>
          <w:tcPr>
            <w:tcW w:type="dxa" w:w="2520"/>
          </w:tcPr>
          <w:p>
            <w:r>
              <w:t>Optimisé</w:t>
            </w:r>
          </w:p>
        </w:tc>
        <w:tc>
          <w:tcPr>
            <w:tcW w:type="dxa" w:w="2520"/>
          </w:tcPr>
          <w:p>
            <w:r>
              <w:t>Cible BP</w:t>
            </w:r>
          </w:p>
        </w:tc>
        <w:tc>
          <w:tcPr>
            <w:tcW w:type="dxa" w:w="2520"/>
          </w:tcPr>
          <w:p>
            <w:r>
              <w:t>Prudent</w:t>
            </w:r>
          </w:p>
        </w:tc>
      </w:tr>
      <w:tr>
        <w:tc>
          <w:tcPr>
            <w:tcW w:type="dxa" w:w="2520"/>
          </w:tcPr>
          <w:p>
            <w:r>
              <w:t>Coût industriel Chine</w:t>
            </w:r>
          </w:p>
        </w:tc>
        <w:tc>
          <w:tcPr>
            <w:tcW w:type="dxa" w:w="2520"/>
          </w:tcPr>
          <w:p>
            <w:r>
              <w:t>95 k€</w:t>
            </w:r>
          </w:p>
        </w:tc>
        <w:tc>
          <w:tcPr>
            <w:tcW w:type="dxa" w:w="2520"/>
          </w:tcPr>
          <w:p>
            <w:r>
              <w:t>120 k€</w:t>
            </w:r>
          </w:p>
        </w:tc>
        <w:tc>
          <w:tcPr>
            <w:tcW w:type="dxa" w:w="2520"/>
          </w:tcPr>
          <w:p>
            <w:r>
              <w:t>145 k€</w:t>
            </w:r>
          </w:p>
        </w:tc>
      </w:tr>
      <w:tr>
        <w:tc>
          <w:tcPr>
            <w:tcW w:type="dxa" w:w="2520"/>
          </w:tcPr>
          <w:p>
            <w:r>
              <w:t>Transport / QC / logistique</w:t>
            </w:r>
          </w:p>
        </w:tc>
        <w:tc>
          <w:tcPr>
            <w:tcW w:type="dxa" w:w="2520"/>
          </w:tcPr>
          <w:p>
            <w:r>
              <w:t>8 k€</w:t>
            </w:r>
          </w:p>
        </w:tc>
        <w:tc>
          <w:tcPr>
            <w:tcW w:type="dxa" w:w="2520"/>
          </w:tcPr>
          <w:p>
            <w:r>
              <w:t>10 k€</w:t>
            </w:r>
          </w:p>
        </w:tc>
        <w:tc>
          <w:tcPr>
            <w:tcW w:type="dxa" w:w="2520"/>
          </w:tcPr>
          <w:p>
            <w:r>
              <w:t>12 k€</w:t>
            </w:r>
          </w:p>
        </w:tc>
      </w:tr>
      <w:tr>
        <w:tc>
          <w:tcPr>
            <w:tcW w:type="dxa" w:w="2520"/>
          </w:tcPr>
          <w:p>
            <w:r>
              <w:t>Provision garantie / SAV</w:t>
            </w:r>
          </w:p>
        </w:tc>
        <w:tc>
          <w:tcPr>
            <w:tcW w:type="dxa" w:w="2520"/>
          </w:tcPr>
          <w:p>
            <w:r>
              <w:t>5 k€</w:t>
            </w:r>
          </w:p>
        </w:tc>
        <w:tc>
          <w:tcPr>
            <w:tcW w:type="dxa" w:w="2520"/>
          </w:tcPr>
          <w:p>
            <w:r>
              <w:t>7 k€</w:t>
            </w:r>
          </w:p>
        </w:tc>
        <w:tc>
          <w:tcPr>
            <w:tcW w:type="dxa" w:w="2520"/>
          </w:tcPr>
          <w:p>
            <w:r>
              <w:t>8 k€</w:t>
            </w:r>
          </w:p>
        </w:tc>
      </w:tr>
      <w:tr>
        <w:tc>
          <w:tcPr>
            <w:tcW w:type="dxa" w:w="2520"/>
          </w:tcPr>
          <w:p>
            <w:r>
              <w:t>COGS complet</w:t>
            </w:r>
          </w:p>
        </w:tc>
        <w:tc>
          <w:tcPr>
            <w:tcW w:type="dxa" w:w="2520"/>
          </w:tcPr>
          <w:p>
            <w:r>
              <w:t>108 k€</w:t>
            </w:r>
          </w:p>
        </w:tc>
        <w:tc>
          <w:tcPr>
            <w:tcW w:type="dxa" w:w="2520"/>
          </w:tcPr>
          <w:p>
            <w:r>
              <w:t>137 k€</w:t>
            </w:r>
          </w:p>
        </w:tc>
        <w:tc>
          <w:tcPr>
            <w:tcW w:type="dxa" w:w="2520"/>
          </w:tcPr>
          <w:p>
            <w:r>
              <w:t>165 k€</w:t>
            </w:r>
          </w:p>
        </w:tc>
      </w:tr>
    </w:tbl>
    <w:p>
      <w:r>
        <w:t>Le scénario central retient donc 137 000 € de coût complet par bateau. Ce montant est une hypothèse de business plan, pas un devis fournisseur.</w:t>
      </w:r>
    </w:p>
    <w:p>
      <w:pPr>
        <w:pStyle w:val="Heading1"/>
      </w:pPr>
      <w:r>
        <w:t>6. Positionnement prix et marge</w:t>
      </w:r>
    </w:p>
    <w:p>
      <w:r>
        <w:t>Le positionnement a été relevé après analyse du marché premium hydrofoil. L’objectif n’est pas d’être un « bateau chinois moins cher », mais une marque européenne/internationale de luxury electric hydrofoil avec industrialisation maîtrisée.</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tcPr>
          <w:p>
            <w:r>
              <w:t>Modèle</w:t>
            </w:r>
          </w:p>
        </w:tc>
        <w:tc>
          <w:tcPr>
            <w:tcW w:type="dxa" w:w="2016"/>
          </w:tcPr>
          <w:p>
            <w:r>
              <w:t>Prix HT</w:t>
            </w:r>
          </w:p>
        </w:tc>
        <w:tc>
          <w:tcPr>
            <w:tcW w:type="dxa" w:w="2016"/>
          </w:tcPr>
          <w:p>
            <w:r>
              <w:t>Coût estimé</w:t>
            </w:r>
          </w:p>
        </w:tc>
        <w:tc>
          <w:tcPr>
            <w:tcW w:type="dxa" w:w="2016"/>
          </w:tcPr>
          <w:p>
            <w:r>
              <w:t>Marge brute</w:t>
            </w:r>
          </w:p>
        </w:tc>
        <w:tc>
          <w:tcPr>
            <w:tcW w:type="dxa" w:w="2016"/>
          </w:tcPr>
          <w:p>
            <w:r>
              <w:t>Taux</w:t>
            </w:r>
          </w:p>
        </w:tc>
      </w:tr>
      <w:tr>
        <w:tc>
          <w:tcPr>
            <w:tcW w:type="dxa" w:w="2016"/>
          </w:tcPr>
          <w:p>
            <w:r>
              <w:t>LESSINGER Racing Foil 30</w:t>
            </w:r>
          </w:p>
        </w:tc>
        <w:tc>
          <w:tcPr>
            <w:tcW w:type="dxa" w:w="2016"/>
          </w:tcPr>
          <w:p>
            <w:r>
              <w:t>349 k€ HT</w:t>
            </w:r>
          </w:p>
        </w:tc>
        <w:tc>
          <w:tcPr>
            <w:tcW w:type="dxa" w:w="2016"/>
          </w:tcPr>
          <w:p>
            <w:r>
              <w:t>130 k€</w:t>
            </w:r>
          </w:p>
        </w:tc>
        <w:tc>
          <w:tcPr>
            <w:tcW w:type="dxa" w:w="2016"/>
          </w:tcPr>
          <w:p>
            <w:r>
              <w:t>219 k€</w:t>
            </w:r>
          </w:p>
        </w:tc>
        <w:tc>
          <w:tcPr>
            <w:tcW w:type="dxa" w:w="2016"/>
          </w:tcPr>
          <w:p>
            <w:r>
              <w:t>62,8 %</w:t>
            </w:r>
          </w:p>
        </w:tc>
      </w:tr>
      <w:tr>
        <w:tc>
          <w:tcPr>
            <w:tcW w:type="dxa" w:w="2016"/>
          </w:tcPr>
          <w:p>
            <w:r>
              <w:t>LESSINGER Racing Foil 30 S</w:t>
            </w:r>
          </w:p>
        </w:tc>
        <w:tc>
          <w:tcPr>
            <w:tcW w:type="dxa" w:w="2016"/>
          </w:tcPr>
          <w:p>
            <w:r>
              <w:t>399 k€ HT</w:t>
            </w:r>
          </w:p>
        </w:tc>
        <w:tc>
          <w:tcPr>
            <w:tcW w:type="dxa" w:w="2016"/>
          </w:tcPr>
          <w:p>
            <w:r>
              <w:t>145 k€</w:t>
            </w:r>
          </w:p>
        </w:tc>
        <w:tc>
          <w:tcPr>
            <w:tcW w:type="dxa" w:w="2016"/>
          </w:tcPr>
          <w:p>
            <w:r>
              <w:t>254 k€</w:t>
            </w:r>
          </w:p>
        </w:tc>
        <w:tc>
          <w:tcPr>
            <w:tcW w:type="dxa" w:w="2016"/>
          </w:tcPr>
          <w:p>
            <w:r>
              <w:t>63,7 %</w:t>
            </w:r>
          </w:p>
        </w:tc>
      </w:tr>
      <w:tr>
        <w:tc>
          <w:tcPr>
            <w:tcW w:type="dxa" w:w="2016"/>
          </w:tcPr>
          <w:p>
            <w:r>
              <w:t>LESSINGER Bespoke / Founder’s Edition</w:t>
            </w:r>
          </w:p>
        </w:tc>
        <w:tc>
          <w:tcPr>
            <w:tcW w:type="dxa" w:w="2016"/>
          </w:tcPr>
          <w:p>
            <w:r>
              <w:t>475 k€ HT (hyp.)</w:t>
            </w:r>
          </w:p>
        </w:tc>
        <w:tc>
          <w:tcPr>
            <w:tcW w:type="dxa" w:w="2016"/>
          </w:tcPr>
          <w:p>
            <w:r>
              <w:t>170 k€</w:t>
            </w:r>
          </w:p>
        </w:tc>
        <w:tc>
          <w:tcPr>
            <w:tcW w:type="dxa" w:w="2016"/>
          </w:tcPr>
          <w:p>
            <w:r>
              <w:t>305 k€</w:t>
            </w:r>
          </w:p>
        </w:tc>
        <w:tc>
          <w:tcPr>
            <w:tcW w:type="dxa" w:w="2016"/>
          </w:tcPr>
          <w:p>
            <w:r>
              <w:t>64,2 %</w:t>
            </w:r>
          </w:p>
        </w:tc>
      </w:tr>
    </w:tbl>
    <w:p>
      <w:r>
        <w:t>Hypothèse centrale du business plan : prix moyen réellement encaissé de 379 000 € HT, COGS complet de 137 000 €, soit 242 000 € de marge brute par bateau et environ 63,9 % de marge brute.</w:t>
      </w:r>
    </w:p>
    <w:p>
      <w:pPr>
        <w:pStyle w:val="Heading1"/>
      </w:pPr>
      <w:r>
        <w:t>7. Utilisation envisagée des 1,8 M€</w:t>
      </w:r>
    </w:p>
    <w:tbl>
      <w:tblPr>
        <w:tblStyle w:val="TableGrid"/>
        <w:tblW w:type="auto" w:w="0"/>
        <w:jc w:val="center"/>
        <w:tblLook w:firstColumn="1" w:firstRow="1" w:lastColumn="0" w:lastRow="0" w:noHBand="0" w:noVBand="1" w:val="04A0"/>
      </w:tblPr>
      <w:tblGrid>
        <w:gridCol w:w="5040"/>
        <w:gridCol w:w="5040"/>
      </w:tblGrid>
      <w:tr>
        <w:tc>
          <w:tcPr>
            <w:tcW w:type="dxa" w:w="5040"/>
          </w:tcPr>
          <w:p>
            <w:r>
              <w:t>Utilisation</w:t>
            </w:r>
          </w:p>
        </w:tc>
        <w:tc>
          <w:tcPr>
            <w:tcW w:type="dxa" w:w="5040"/>
          </w:tcPr>
          <w:p>
            <w:r>
              <w:t>Budget</w:t>
            </w:r>
          </w:p>
        </w:tc>
      </w:tr>
      <w:tr>
        <w:tc>
          <w:tcPr>
            <w:tcW w:type="dxa" w:w="5040"/>
          </w:tcPr>
          <w:p>
            <w:r>
              <w:t>Architecture navale + CFD + hydrofoil</w:t>
            </w:r>
          </w:p>
        </w:tc>
        <w:tc>
          <w:tcPr>
            <w:tcW w:type="dxa" w:w="5040"/>
          </w:tcPr>
          <w:p>
            <w:r>
              <w:t>250 k€</w:t>
            </w:r>
          </w:p>
        </w:tc>
      </w:tr>
      <w:tr>
        <w:tc>
          <w:tcPr>
            <w:tcW w:type="dxa" w:w="5040"/>
          </w:tcPr>
          <w:p>
            <w:r>
              <w:t>Design industriel / finalisation</w:t>
            </w:r>
          </w:p>
        </w:tc>
        <w:tc>
          <w:tcPr>
            <w:tcW w:type="dxa" w:w="5040"/>
          </w:tcPr>
          <w:p>
            <w:r>
              <w:t>100 k€</w:t>
            </w:r>
          </w:p>
        </w:tc>
      </w:tr>
      <w:tr>
        <w:tc>
          <w:tcPr>
            <w:tcW w:type="dxa" w:w="5040"/>
          </w:tcPr>
          <w:p>
            <w:r>
              <w:t>Prototype #1</w:t>
            </w:r>
          </w:p>
        </w:tc>
        <w:tc>
          <w:tcPr>
            <w:tcW w:type="dxa" w:w="5040"/>
          </w:tcPr>
          <w:p>
            <w:r>
              <w:t>300 k€</w:t>
            </w:r>
          </w:p>
        </w:tc>
      </w:tr>
      <w:tr>
        <w:tc>
          <w:tcPr>
            <w:tcW w:type="dxa" w:w="5040"/>
          </w:tcPr>
          <w:p>
            <w:r>
              <w:t>Prototype #2 / démonstrateur UAE</w:t>
            </w:r>
          </w:p>
        </w:tc>
        <w:tc>
          <w:tcPr>
            <w:tcW w:type="dxa" w:w="5040"/>
          </w:tcPr>
          <w:p>
            <w:r>
              <w:t>220 k€</w:t>
            </w:r>
          </w:p>
        </w:tc>
      </w:tr>
      <w:tr>
        <w:tc>
          <w:tcPr>
            <w:tcW w:type="dxa" w:w="5040"/>
          </w:tcPr>
          <w:p>
            <w:r>
              <w:t>Moules / outillages / industrialisation Chine</w:t>
            </w:r>
          </w:p>
        </w:tc>
        <w:tc>
          <w:tcPr>
            <w:tcW w:type="dxa" w:w="5040"/>
          </w:tcPr>
          <w:p>
            <w:r>
              <w:t>200 k€</w:t>
            </w:r>
          </w:p>
        </w:tc>
      </w:tr>
      <w:tr>
        <w:tc>
          <w:tcPr>
            <w:tcW w:type="dxa" w:w="5040"/>
          </w:tcPr>
          <w:p>
            <w:r>
              <w:t>Certification, essais, juridique, IP</w:t>
            </w:r>
          </w:p>
        </w:tc>
        <w:tc>
          <w:tcPr>
            <w:tcW w:type="dxa" w:w="5040"/>
          </w:tcPr>
          <w:p>
            <w:r>
              <w:t>130 k€</w:t>
            </w:r>
          </w:p>
        </w:tc>
      </w:tr>
      <w:tr>
        <w:tc>
          <w:tcPr>
            <w:tcW w:type="dxa" w:w="5040"/>
          </w:tcPr>
          <w:p>
            <w:r>
              <w:t>Structure Dubaï + showroom / démonstration</w:t>
            </w:r>
          </w:p>
        </w:tc>
        <w:tc>
          <w:tcPr>
            <w:tcW w:type="dxa" w:w="5040"/>
          </w:tcPr>
          <w:p>
            <w:r>
              <w:t>100 k€</w:t>
            </w:r>
          </w:p>
        </w:tc>
      </w:tr>
      <w:tr>
        <w:tc>
          <w:tcPr>
            <w:tcW w:type="dxa" w:w="5040"/>
          </w:tcPr>
          <w:p>
            <w:r>
              <w:t>Marketing, salons, vidéo, lancement</w:t>
            </w:r>
          </w:p>
        </w:tc>
        <w:tc>
          <w:tcPr>
            <w:tcW w:type="dxa" w:w="5040"/>
          </w:tcPr>
          <w:p>
            <w:r>
              <w:t>150 k€</w:t>
            </w:r>
          </w:p>
        </w:tc>
      </w:tr>
      <w:tr>
        <w:tc>
          <w:tcPr>
            <w:tcW w:type="dxa" w:w="5040"/>
          </w:tcPr>
          <w:p>
            <w:r>
              <w:t>Équipe / ingénierie / management</w:t>
            </w:r>
          </w:p>
        </w:tc>
        <w:tc>
          <w:tcPr>
            <w:tcW w:type="dxa" w:w="5040"/>
          </w:tcPr>
          <w:p>
            <w:r>
              <w:t>200 k€</w:t>
            </w:r>
          </w:p>
        </w:tc>
      </w:tr>
      <w:tr>
        <w:tc>
          <w:tcPr>
            <w:tcW w:type="dxa" w:w="5040"/>
          </w:tcPr>
          <w:p>
            <w:r>
              <w:t>Trésorerie / imprévus</w:t>
            </w:r>
          </w:p>
        </w:tc>
        <w:tc>
          <w:tcPr>
            <w:tcW w:type="dxa" w:w="5040"/>
          </w:tcPr>
          <w:p>
            <w:r>
              <w:t>150 k€</w:t>
            </w:r>
          </w:p>
        </w:tc>
      </w:tr>
      <w:tr>
        <w:tc>
          <w:tcPr>
            <w:tcW w:type="dxa" w:w="5040"/>
          </w:tcPr>
          <w:p>
            <w:r>
              <w:t>TOTAL</w:t>
            </w:r>
          </w:p>
        </w:tc>
        <w:tc>
          <w:tcPr>
            <w:tcW w:type="dxa" w:w="5040"/>
          </w:tcPr>
          <w:p>
            <w:r>
              <w:t>1 800 k€</w:t>
            </w:r>
          </w:p>
        </w:tc>
      </w:tr>
    </w:tbl>
    <w:p>
      <w:pPr>
        <w:pStyle w:val="Heading1"/>
      </w:pPr>
      <w:r>
        <w:t>8. Prévisionnel de ventes – scénario prudent/central retravaillé</w:t>
      </w:r>
    </w:p>
    <w:p>
      <w:r>
        <w:t>Le scénario initial très ambitieux (jusqu’à 120 bateaux en année 5) a ensuite été volontairement réduit afin de présenter un dossier plus crédible à un private investor.</w:t>
      </w:r>
    </w:p>
    <w:tbl>
      <w:tblPr>
        <w:tblStyle w:val="TableGrid"/>
        <w:tblW w:type="auto" w:w="0"/>
        <w:jc w:val="center"/>
        <w:tblLook w:firstColumn="1" w:firstRow="1" w:lastColumn="0" w:lastRow="0" w:noHBand="0" w:noVBand="1" w:val="04A0"/>
      </w:tblPr>
      <w:tblGrid>
        <w:gridCol w:w="5040"/>
        <w:gridCol w:w="5040"/>
      </w:tblGrid>
      <w:tr>
        <w:tc>
          <w:tcPr>
            <w:tcW w:type="dxa" w:w="5040"/>
          </w:tcPr>
          <w:p>
            <w:r>
              <w:t>Année</w:t>
            </w:r>
          </w:p>
        </w:tc>
        <w:tc>
          <w:tcPr>
            <w:tcW w:type="dxa" w:w="5040"/>
          </w:tcPr>
          <w:p>
            <w:r>
              <w:t>Bateaux vendus</w:t>
            </w:r>
          </w:p>
        </w:tc>
      </w:tr>
      <w:tr>
        <w:tc>
          <w:tcPr>
            <w:tcW w:type="dxa" w:w="5040"/>
          </w:tcPr>
          <w:p>
            <w:r>
              <w:t>Année 1</w:t>
            </w:r>
          </w:p>
        </w:tc>
        <w:tc>
          <w:tcPr>
            <w:tcW w:type="dxa" w:w="5040"/>
          </w:tcPr>
          <w:p>
            <w:r>
              <w:t>4</w:t>
            </w:r>
          </w:p>
        </w:tc>
      </w:tr>
      <w:tr>
        <w:tc>
          <w:tcPr>
            <w:tcW w:type="dxa" w:w="5040"/>
          </w:tcPr>
          <w:p>
            <w:r>
              <w:t>Année 2</w:t>
            </w:r>
          </w:p>
        </w:tc>
        <w:tc>
          <w:tcPr>
            <w:tcW w:type="dxa" w:w="5040"/>
          </w:tcPr>
          <w:p>
            <w:r>
              <w:t>12</w:t>
            </w:r>
          </w:p>
        </w:tc>
      </w:tr>
      <w:tr>
        <w:tc>
          <w:tcPr>
            <w:tcW w:type="dxa" w:w="5040"/>
          </w:tcPr>
          <w:p>
            <w:r>
              <w:t>Année 3</w:t>
            </w:r>
          </w:p>
        </w:tc>
        <w:tc>
          <w:tcPr>
            <w:tcW w:type="dxa" w:w="5040"/>
          </w:tcPr>
          <w:p>
            <w:r>
              <w:t>25</w:t>
            </w:r>
          </w:p>
        </w:tc>
      </w:tr>
      <w:tr>
        <w:tc>
          <w:tcPr>
            <w:tcW w:type="dxa" w:w="5040"/>
          </w:tcPr>
          <w:p>
            <w:r>
              <w:t>Année 4</w:t>
            </w:r>
          </w:p>
        </w:tc>
        <w:tc>
          <w:tcPr>
            <w:tcW w:type="dxa" w:w="5040"/>
          </w:tcPr>
          <w:p>
            <w:r>
              <w:t>45</w:t>
            </w:r>
          </w:p>
        </w:tc>
      </w:tr>
      <w:tr>
        <w:tc>
          <w:tcPr>
            <w:tcW w:type="dxa" w:w="5040"/>
          </w:tcPr>
          <w:p>
            <w:r>
              <w:t>Année 5</w:t>
            </w:r>
          </w:p>
        </w:tc>
        <w:tc>
          <w:tcPr>
            <w:tcW w:type="dxa" w:w="5040"/>
          </w:tcPr>
          <w:p>
            <w:r>
              <w:t>70</w:t>
            </w:r>
          </w:p>
        </w:tc>
      </w:tr>
    </w:tbl>
    <w:p>
      <w:r>
        <w:t>Avec un prix moyen de 379 000 € HT et un coût complet de 137 000 €, 25 bateaux en année 3 représenteraient environ 9,475 M€ de chiffre d’affaires, 3,425 M€ de COGS et 6,050 M€ de marge brute. Ces résultats découlent directement des hypothèses et ne constituent pas des résultats garantis.</w:t>
      </w:r>
    </w:p>
    <w:p>
      <w:pPr>
        <w:pStyle w:val="Heading1"/>
      </w:pPr>
      <w:r>
        <w:t>9. Lecture investisseur</w:t>
      </w:r>
    </w:p>
    <w:p>
      <w:r>
        <w:t>Le private investor apporte 1,8 M€ et détient 30 % du capital post-money. Sans dilution future, la valeur théorique de cette participation évoluerait avec la valeur de l’entreprise : à 12 M€ de valorisation, 30 % représentent 3,6 M€ ; à 30 M€, 9 M€ ; à 60 M€, 18 M€. Ces montants sont des simulations et non des promesses de rendement.</w:t>
      </w:r>
    </w:p>
    <w:p>
      <w:r>
        <w:t>Une seconde levée future entraînerait une dilution. Exemple discuté : 5 M€ levés sur une valorisation pre-money de 20 M€ donnent 20 % au nouvel investisseur ; les fondateurs passeraient alors de 70 % à 56 % et le premier investisseur de 30 % à 24 %, hors autres mécanismes de dilution.</w:t>
      </w:r>
    </w:p>
    <w:p>
      <w:pPr>
        <w:pStyle w:val="Heading1"/>
      </w:pPr>
      <w:r>
        <w:t>10. Formulation du deal</w:t>
      </w:r>
    </w:p>
    <w:p>
      <w:pPr>
        <w:jc w:val="center"/>
      </w:pPr>
      <w:r>
        <w:rPr>
          <w:b/>
        </w:rPr>
        <w:t>LESSINGER RACING FOIL</w:t>
        <w:br/>
      </w:r>
      <w:r>
        <w:rPr>
          <w:b/>
        </w:rPr>
        <w:t>Seeking: €1.8M</w:t>
        <w:br/>
      </w:r>
      <w:r>
        <w:rPr>
          <w:b/>
        </w:rPr>
        <w:t>Pre-money valuation: €4.2M</w:t>
        <w:br/>
      </w:r>
      <w:r>
        <w:rPr>
          <w:b/>
        </w:rPr>
        <w:t>Post-money valuation: €6.0M</w:t>
        <w:br/>
      </w:r>
      <w:r>
        <w:rPr>
          <w:b/>
        </w:rPr>
        <w:t>Equity offered: up to 30%</w:t>
        <w:br/>
      </w:r>
      <w:r>
        <w:rPr>
          <w:b/>
        </w:rPr>
        <w:t>Use of funds: engineering, prototypes, tooling, certification, China industrialisation and Dubai commercial launch.</w:t>
        <w:br/>
      </w:r>
    </w:p>
    <w:p>
      <w:pPr>
        <w:pStyle w:val="Heading1"/>
      </w:pPr>
      <w:r>
        <w:t>11. Conclusion de travail</w:t>
      </w:r>
    </w:p>
    <w:p>
      <w:r>
        <w:t>La structure 1,8 M€ / 30 % / 4,2 M€ pre-money est cohérente sur le plan mathématique et constitue une base de négociation lisible. Le point critique avant présentation à des investisseurs reste la validation du coût de revient industriel, suivie de la sécurisation technique : ingénierie hydrofoil, devis fournisseurs, BOM, prototype, certification, propriété intellectuelle et premières preuves de demande commerciale.</w:t>
      </w:r>
    </w:p>
    <w:p>
      <w:r>
        <w:t>Le positionnement recommandé est : marque de luxe internationale + hub commercial à Dubaï + base industrielle chinoise + technologie hydrofoil/contrôle maîtrisée + prix de vente premium + marge brute cible supérieure à 50 %.</w:t>
      </w:r>
    </w:p>
    <w:p>
      <w:pPr>
        <w:pStyle w:val="Heading1"/>
      </w:pPr>
      <w:r>
        <w:t>12. Sources web évoquées dans le chat</w:t>
      </w:r>
    </w:p>
    <w:p>
      <w:pPr>
        <w:pStyle w:val="ListBullet"/>
      </w:pPr>
      <w:r>
        <w:t>Foil.One – Pegasus : https://foil.one/pegasus/</w:t>
      </w:r>
    </w:p>
    <w:p>
      <w:pPr>
        <w:pStyle w:val="ListBullet"/>
      </w:pPr>
      <w:r>
        <w:t>Foil.One – personnalisation : https://foil.one/customize/</w:t>
      </w:r>
    </w:p>
    <w:p>
      <w:pPr>
        <w:pStyle w:val="ListBullet"/>
      </w:pPr>
      <w:r>
        <w:t>Candela – C-8 : https://candela.com/fr/leisure-boats/candela-c-8/</w:t>
      </w:r>
    </w:p>
    <w:p>
      <w:pPr>
        <w:pStyle w:val="ListBullet"/>
      </w:pPr>
      <w:r>
        <w:t>ePropulsion : https://www.epropulsion.com/</w:t>
      </w:r>
    </w:p>
    <w:p>
      <w:pPr>
        <w:pStyle w:val="ListBullet"/>
      </w:pPr>
      <w:r>
        <w:t>Utopia Boats / Sinocean HT : https://www.utopiaboats.com/</w:t>
      </w:r>
    </w:p>
    <w:p>
      <w:pPr>
        <w:pStyle w:val="ListBullet"/>
      </w:pPr>
      <w:r>
        <w:t>UAE Government – Dubai Industrial Strategy / Marine Transport : https://u.ae/</w:t>
      </w:r>
    </w:p>
    <w:p>
      <w:pPr>
        <w:pStyle w:val="ListBullet"/>
      </w:pPr>
      <w:r>
        <w:t>UAE Federal Tax Authority : https://tax.gov.ae/</w:t>
      </w:r>
    </w:p>
    <w:p>
      <w:r>
        <w:t>Note : ce document est une synthèse structurée des échanges du chat. Les hypothèses techniques, coûts, marges, volumes et valorisations doivent être validés par des professionnels compétents, des devis fournisseurs, des études d’ingénierie et une due diligence avant utilisation dans une levée de fonds.</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