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79D049">
      <w:pPr>
        <w:spacing w:after="0"/>
        <w:jc w:val="center"/>
      </w:pPr>
      <w:bookmarkStart w:id="0" w:name="_GoBack"/>
      <w:bookmarkEnd w:id="0"/>
      <w:r>
        <w:rPr>
          <w:rFonts w:ascii="Aptos Display" w:hAnsi="Aptos Display"/>
          <w:b/>
          <w:color w:val="5F5F5F"/>
          <w:sz w:val="50"/>
        </w:rPr>
        <w:t>LESSINGER</w:t>
      </w:r>
    </w:p>
    <w:p w14:paraId="24B14878">
      <w:pPr>
        <w:spacing w:before="0" w:after="60"/>
        <w:jc w:val="center"/>
      </w:pPr>
      <w:r>
        <w:rPr>
          <w:b/>
          <w:color w:val="A01419"/>
          <w:sz w:val="30"/>
        </w:rPr>
        <w:t>RACING MOTORBOAT 30</w:t>
      </w:r>
    </w:p>
    <w:p w14:paraId="5FAF6DCB">
      <w:pPr>
        <w:spacing w:before="0" w:after="140"/>
        <w:jc w:val="center"/>
      </w:pPr>
      <w:r>
        <w:rPr>
          <w:b/>
          <w:color w:val="5F5F5F"/>
          <w:sz w:val="16"/>
        </w:rPr>
        <w:t>LUXURY ELECTRIC HYDROFOIL  |  TECHNICAL DEVELOPMENT SHEET</w:t>
      </w:r>
    </w:p>
    <w:tbl>
      <w:tblPr>
        <w:tblStyle w:val="12"/>
        <w:tblW w:w="0" w:type="auto"/>
        <w:jc w:val="center"/>
        <w:tblLayout w:type="fixed"/>
        <w:tblCellMar>
          <w:top w:w="0" w:type="dxa"/>
          <w:left w:w="108" w:type="dxa"/>
          <w:bottom w:w="0" w:type="dxa"/>
          <w:right w:w="108" w:type="dxa"/>
        </w:tblCellMar>
      </w:tblPr>
      <w:tblGrid>
        <w:gridCol w:w="3490"/>
        <w:gridCol w:w="3490"/>
        <w:gridCol w:w="3490"/>
      </w:tblGrid>
      <w:tr w14:paraId="498BF577">
        <w:trPr>
          <w:jc w:val="center"/>
        </w:trPr>
        <w:tc>
          <w:tcPr>
            <w:tcW w:w="3384" w:type="dxa"/>
            <w:shd w:val="clear" w:color="auto" w:fill="161616"/>
            <w:tcMar>
              <w:top w:w="120" w:type="dxa"/>
              <w:left w:w="90" w:type="dxa"/>
              <w:bottom w:w="120" w:type="dxa"/>
              <w:right w:w="90" w:type="dxa"/>
            </w:tcMar>
            <w:vAlign w:val="center"/>
          </w:tcPr>
          <w:p w14:paraId="30977BA8">
            <w:pPr>
              <w:jc w:val="center"/>
            </w:pPr>
            <w:r>
              <w:rPr>
                <w:b/>
                <w:color w:val="FFFFFF"/>
                <w:sz w:val="28"/>
              </w:rPr>
              <w:t>30 FT / 9,14 M</w:t>
            </w:r>
          </w:p>
          <w:p w14:paraId="2C467C3E">
            <w:pPr>
              <w:spacing w:before="0" w:after="0"/>
              <w:jc w:val="center"/>
            </w:pPr>
            <w:r>
              <w:rPr>
                <w:b/>
                <w:color w:val="BEBEBE"/>
                <w:sz w:val="13"/>
              </w:rPr>
              <w:t>LONGUEUR HORS TOUT</w:t>
            </w:r>
          </w:p>
        </w:tc>
        <w:tc>
          <w:tcPr>
            <w:tcW w:w="3384" w:type="dxa"/>
            <w:shd w:val="clear" w:color="auto" w:fill="161616"/>
            <w:tcMar>
              <w:top w:w="120" w:type="dxa"/>
              <w:left w:w="90" w:type="dxa"/>
              <w:bottom w:w="120" w:type="dxa"/>
              <w:right w:w="90" w:type="dxa"/>
            </w:tcMar>
            <w:vAlign w:val="center"/>
          </w:tcPr>
          <w:p w14:paraId="515E739A">
            <w:pPr>
              <w:jc w:val="center"/>
            </w:pPr>
            <w:r>
              <w:rPr>
                <w:b/>
                <w:color w:val="FFFFFF"/>
                <w:sz w:val="28"/>
              </w:rPr>
              <w:t>100% ELECTRIC</w:t>
            </w:r>
          </w:p>
          <w:p w14:paraId="219C9A3C">
            <w:pPr>
              <w:spacing w:before="0" w:after="0"/>
              <w:jc w:val="center"/>
            </w:pPr>
            <w:r>
              <w:rPr>
                <w:b/>
                <w:color w:val="BEBEBE"/>
                <w:sz w:val="13"/>
              </w:rPr>
              <w:t>PROPULSION</w:t>
            </w:r>
          </w:p>
        </w:tc>
        <w:tc>
          <w:tcPr>
            <w:tcW w:w="3384" w:type="dxa"/>
            <w:shd w:val="clear" w:color="auto" w:fill="161616"/>
            <w:tcMar>
              <w:top w:w="120" w:type="dxa"/>
              <w:left w:w="90" w:type="dxa"/>
              <w:bottom w:w="120" w:type="dxa"/>
              <w:right w:w="90" w:type="dxa"/>
            </w:tcMar>
            <w:vAlign w:val="center"/>
          </w:tcPr>
          <w:p w14:paraId="4542E710">
            <w:pPr>
              <w:jc w:val="center"/>
            </w:pPr>
            <w:r>
              <w:rPr>
                <w:b/>
                <w:color w:val="FFFFFF"/>
                <w:sz w:val="28"/>
              </w:rPr>
              <w:t>27–30 KT</w:t>
            </w:r>
          </w:p>
          <w:p w14:paraId="1E1AB1FC">
            <w:pPr>
              <w:spacing w:before="0" w:after="0"/>
              <w:jc w:val="center"/>
            </w:pPr>
            <w:r>
              <w:rPr>
                <w:b/>
                <w:color w:val="BEBEBE"/>
                <w:sz w:val="13"/>
              </w:rPr>
              <w:t>VITESSE MAX. CIBLE</w:t>
            </w:r>
          </w:p>
        </w:tc>
      </w:tr>
    </w:tbl>
    <w:p w14:paraId="28759558">
      <w:pPr>
        <w:spacing w:before="140" w:after="120"/>
        <w:jc w:val="center"/>
      </w:pPr>
      <w:r>
        <w:rPr>
          <w:i/>
          <w:sz w:val="17"/>
        </w:rPr>
        <w:t>Un runabout hydrofoil électrique premium, développé pour conjuguer performance, silence, efficience hydrodynamique et identité de marque distinctive.</w:t>
      </w:r>
    </w:p>
    <w:p w14:paraId="347FF204">
      <w:pPr>
        <w:spacing w:before="60" w:after="60"/>
      </w:pPr>
      <w:r>
        <w:rPr>
          <w:b/>
          <w:color w:val="A01419"/>
          <w:sz w:val="18"/>
        </w:rPr>
        <w:t>SPÉCIFICATIONS TECHNIQUES</w:t>
      </w:r>
    </w:p>
    <w:tbl>
      <w:tblPr>
        <w:tblStyle w:val="12"/>
        <w:tblW w:w="0" w:type="auto"/>
        <w:jc w:val="center"/>
        <w:tblLayout w:type="fixed"/>
        <w:tblCellMar>
          <w:top w:w="0" w:type="dxa"/>
          <w:left w:w="108" w:type="dxa"/>
          <w:bottom w:w="0" w:type="dxa"/>
          <w:right w:w="108" w:type="dxa"/>
        </w:tblCellMar>
      </w:tblPr>
      <w:tblGrid>
        <w:gridCol w:w="5234"/>
        <w:gridCol w:w="5234"/>
      </w:tblGrid>
      <w:tr w14:paraId="302E255E">
        <w:trPr>
          <w:jc w:val="center"/>
        </w:trPr>
        <w:tc>
          <w:tcPr>
            <w:tcW w:w="5112" w:type="dxa"/>
            <w:tcMar>
              <w:top w:w="0" w:type="dxa"/>
              <w:left w:w="0" w:type="dxa"/>
              <w:bottom w:w="0" w:type="dxa"/>
              <w:right w:w="0" w:type="dxa"/>
            </w:tcMar>
          </w:tcPr>
          <w:p w14:paraId="7A5EACE7"/>
          <w:tbl>
            <w:tblPr>
              <w:tblStyle w:val="12"/>
              <w:tblW w:w="0" w:type="auto"/>
              <w:jc w:val="center"/>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Layout w:type="fixed"/>
              <w:tblCellMar>
                <w:top w:w="0" w:type="dxa"/>
                <w:left w:w="108" w:type="dxa"/>
                <w:bottom w:w="0" w:type="dxa"/>
                <w:right w:w="108" w:type="dxa"/>
              </w:tblCellMar>
            </w:tblPr>
            <w:tblGrid>
              <w:gridCol w:w="2556"/>
              <w:gridCol w:w="2556"/>
            </w:tblGrid>
            <w:tr w14:paraId="167250DD">
              <w:trPr>
                <w:jc w:val="center"/>
              </w:trPr>
              <w:tc>
                <w:tcPr>
                  <w:tcW w:w="2376" w:type="dxa"/>
                  <w:shd w:val="clear" w:color="auto" w:fill="F0F0F0"/>
                  <w:tcMar>
                    <w:top w:w="60" w:type="dxa"/>
                    <w:left w:w="70" w:type="dxa"/>
                    <w:bottom w:w="60" w:type="dxa"/>
                    <w:right w:w="70" w:type="dxa"/>
                  </w:tcMar>
                  <w:vAlign w:val="center"/>
                </w:tcPr>
                <w:p w14:paraId="2BC9DDF3">
                  <w:pPr>
                    <w:spacing w:after="0"/>
                  </w:pPr>
                  <w:r>
                    <w:rPr>
                      <w:b/>
                      <w:color w:val="373737"/>
                      <w:sz w:val="14"/>
                    </w:rPr>
                    <w:t>Type</w:t>
                  </w:r>
                </w:p>
              </w:tc>
              <w:tc>
                <w:tcPr>
                  <w:tcW w:w="2664" w:type="dxa"/>
                  <w:shd w:val="clear" w:color="auto" w:fill="FAFAFA"/>
                  <w:tcMar>
                    <w:top w:w="60" w:type="dxa"/>
                    <w:left w:w="70" w:type="dxa"/>
                    <w:bottom w:w="60" w:type="dxa"/>
                    <w:right w:w="70" w:type="dxa"/>
                  </w:tcMar>
                  <w:vAlign w:val="center"/>
                </w:tcPr>
                <w:p w14:paraId="68148AFE">
                  <w:pPr>
                    <w:spacing w:after="0"/>
                  </w:pPr>
                  <w:r>
                    <w:rPr>
                      <w:sz w:val="14"/>
                    </w:rPr>
                    <w:t>Motorboat hydrofoil électrique de luxe</w:t>
                  </w:r>
                </w:p>
              </w:tc>
            </w:tr>
            <w:tr w14:paraId="4D04C859">
              <w:trPr>
                <w:jc w:val="center"/>
              </w:trPr>
              <w:tc>
                <w:tcPr>
                  <w:tcW w:w="2376" w:type="dxa"/>
                  <w:shd w:val="clear" w:color="auto" w:fill="F0F0F0"/>
                  <w:tcMar>
                    <w:top w:w="60" w:type="dxa"/>
                    <w:left w:w="70" w:type="dxa"/>
                    <w:bottom w:w="60" w:type="dxa"/>
                    <w:right w:w="70" w:type="dxa"/>
                  </w:tcMar>
                  <w:vAlign w:val="center"/>
                </w:tcPr>
                <w:p w14:paraId="129F803A">
                  <w:pPr>
                    <w:spacing w:after="0"/>
                  </w:pPr>
                  <w:r>
                    <w:rPr>
                      <w:b/>
                      <w:color w:val="373737"/>
                      <w:sz w:val="14"/>
                    </w:rPr>
                    <w:t>Longueur hors tout (LOA)</w:t>
                  </w:r>
                </w:p>
              </w:tc>
              <w:tc>
                <w:tcPr>
                  <w:tcW w:w="2664" w:type="dxa"/>
                  <w:shd w:val="clear" w:color="auto" w:fill="FAFAFA"/>
                  <w:tcMar>
                    <w:top w:w="60" w:type="dxa"/>
                    <w:left w:w="70" w:type="dxa"/>
                    <w:bottom w:w="60" w:type="dxa"/>
                    <w:right w:w="70" w:type="dxa"/>
                  </w:tcMar>
                  <w:vAlign w:val="center"/>
                </w:tcPr>
                <w:p w14:paraId="27896953">
                  <w:pPr>
                    <w:spacing w:after="0"/>
                  </w:pPr>
                  <w:r>
                    <w:rPr>
                      <w:sz w:val="14"/>
                    </w:rPr>
                    <w:t>30 ft / 9,14 m</w:t>
                  </w:r>
                </w:p>
              </w:tc>
            </w:tr>
            <w:tr w14:paraId="1A5EC9D5">
              <w:trPr>
                <w:jc w:val="center"/>
              </w:trPr>
              <w:tc>
                <w:tcPr>
                  <w:tcW w:w="2376" w:type="dxa"/>
                  <w:shd w:val="clear" w:color="auto" w:fill="F0F0F0"/>
                  <w:tcMar>
                    <w:top w:w="60" w:type="dxa"/>
                    <w:left w:w="70" w:type="dxa"/>
                    <w:bottom w:w="60" w:type="dxa"/>
                    <w:right w:w="70" w:type="dxa"/>
                  </w:tcMar>
                  <w:vAlign w:val="center"/>
                </w:tcPr>
                <w:p w14:paraId="210D402A">
                  <w:pPr>
                    <w:spacing w:after="0"/>
                  </w:pPr>
                  <w:r>
                    <w:rPr>
                      <w:b/>
                      <w:color w:val="373737"/>
                      <w:sz w:val="14"/>
                    </w:rPr>
                    <w:t>Largeur cible</w:t>
                  </w:r>
                </w:p>
              </w:tc>
              <w:tc>
                <w:tcPr>
                  <w:tcW w:w="2664" w:type="dxa"/>
                  <w:shd w:val="clear" w:color="auto" w:fill="FAFAFA"/>
                  <w:tcMar>
                    <w:top w:w="60" w:type="dxa"/>
                    <w:left w:w="70" w:type="dxa"/>
                    <w:bottom w:w="60" w:type="dxa"/>
                    <w:right w:w="70" w:type="dxa"/>
                  </w:tcMar>
                  <w:vAlign w:val="center"/>
                </w:tcPr>
                <w:p w14:paraId="604252B1">
                  <w:pPr>
                    <w:spacing w:after="0"/>
                  </w:pPr>
                  <w:r>
                    <w:rPr>
                      <w:sz w:val="14"/>
                    </w:rPr>
                    <w:t>2,4–2,5 m</w:t>
                  </w:r>
                </w:p>
              </w:tc>
            </w:tr>
            <w:tr w14:paraId="686D15E0">
              <w:trPr>
                <w:jc w:val="center"/>
              </w:trPr>
              <w:tc>
                <w:tcPr>
                  <w:tcW w:w="2376" w:type="dxa"/>
                  <w:shd w:val="clear" w:color="auto" w:fill="F0F0F0"/>
                  <w:tcMar>
                    <w:top w:w="60" w:type="dxa"/>
                    <w:left w:w="70" w:type="dxa"/>
                    <w:bottom w:w="60" w:type="dxa"/>
                    <w:right w:w="70" w:type="dxa"/>
                  </w:tcMar>
                  <w:vAlign w:val="center"/>
                </w:tcPr>
                <w:p w14:paraId="3B759AF5">
                  <w:pPr>
                    <w:spacing w:after="0"/>
                  </w:pPr>
                  <w:r>
                    <w:rPr>
                      <w:b/>
                      <w:color w:val="373737"/>
                      <w:sz w:val="14"/>
                    </w:rPr>
                    <w:t>Capacité cible</w:t>
                  </w:r>
                </w:p>
              </w:tc>
              <w:tc>
                <w:tcPr>
                  <w:tcW w:w="2664" w:type="dxa"/>
                  <w:shd w:val="clear" w:color="auto" w:fill="FAFAFA"/>
                  <w:tcMar>
                    <w:top w:w="60" w:type="dxa"/>
                    <w:left w:w="70" w:type="dxa"/>
                    <w:bottom w:w="60" w:type="dxa"/>
                    <w:right w:w="70" w:type="dxa"/>
                  </w:tcMar>
                  <w:vAlign w:val="center"/>
                </w:tcPr>
                <w:p w14:paraId="183425E3">
                  <w:pPr>
                    <w:spacing w:after="0"/>
                  </w:pPr>
                  <w:r>
                    <w:rPr>
                      <w:sz w:val="14"/>
                    </w:rPr>
                    <w:t>5–6 passagers</w:t>
                  </w:r>
                </w:p>
              </w:tc>
            </w:tr>
            <w:tr w14:paraId="3B17AFFB">
              <w:trPr>
                <w:jc w:val="center"/>
              </w:trPr>
              <w:tc>
                <w:tcPr>
                  <w:tcW w:w="2376" w:type="dxa"/>
                  <w:shd w:val="clear" w:color="auto" w:fill="F0F0F0"/>
                  <w:tcMar>
                    <w:top w:w="60" w:type="dxa"/>
                    <w:left w:w="70" w:type="dxa"/>
                    <w:bottom w:w="60" w:type="dxa"/>
                    <w:right w:w="70" w:type="dxa"/>
                  </w:tcMar>
                  <w:vAlign w:val="center"/>
                </w:tcPr>
                <w:p w14:paraId="3EFDA107">
                  <w:pPr>
                    <w:spacing w:after="0"/>
                  </w:pPr>
                  <w:r>
                    <w:rPr>
                      <w:b/>
                      <w:color w:val="373737"/>
                      <w:sz w:val="14"/>
                    </w:rPr>
                    <w:t>Déplacement / poids cible</w:t>
                  </w:r>
                </w:p>
              </w:tc>
              <w:tc>
                <w:tcPr>
                  <w:tcW w:w="2664" w:type="dxa"/>
                  <w:shd w:val="clear" w:color="auto" w:fill="FAFAFA"/>
                  <w:tcMar>
                    <w:top w:w="60" w:type="dxa"/>
                    <w:left w:w="70" w:type="dxa"/>
                    <w:bottom w:w="60" w:type="dxa"/>
                    <w:right w:w="70" w:type="dxa"/>
                  </w:tcMar>
                  <w:vAlign w:val="center"/>
                </w:tcPr>
                <w:p w14:paraId="4FC0128E">
                  <w:pPr>
                    <w:spacing w:after="0"/>
                  </w:pPr>
                  <w:r>
                    <w:rPr>
                      <w:sz w:val="14"/>
                    </w:rPr>
                    <w:t>1 700–2 000 kg</w:t>
                  </w:r>
                </w:p>
              </w:tc>
            </w:tr>
            <w:tr w14:paraId="3E3C1647">
              <w:trPr>
                <w:jc w:val="center"/>
              </w:trPr>
              <w:tc>
                <w:tcPr>
                  <w:tcW w:w="2376" w:type="dxa"/>
                  <w:shd w:val="clear" w:color="auto" w:fill="F0F0F0"/>
                  <w:tcMar>
                    <w:top w:w="60" w:type="dxa"/>
                    <w:left w:w="70" w:type="dxa"/>
                    <w:bottom w:w="60" w:type="dxa"/>
                    <w:right w:w="70" w:type="dxa"/>
                  </w:tcMar>
                  <w:vAlign w:val="center"/>
                </w:tcPr>
                <w:p w14:paraId="7705831D">
                  <w:pPr>
                    <w:spacing w:after="0"/>
                  </w:pPr>
                  <w:r>
                    <w:rPr>
                      <w:b/>
                      <w:color w:val="373737"/>
                      <w:sz w:val="14"/>
                    </w:rPr>
                    <w:t>Structure</w:t>
                  </w:r>
                </w:p>
              </w:tc>
              <w:tc>
                <w:tcPr>
                  <w:tcW w:w="2664" w:type="dxa"/>
                  <w:shd w:val="clear" w:color="auto" w:fill="FAFAFA"/>
                  <w:tcMar>
                    <w:top w:w="60" w:type="dxa"/>
                    <w:left w:w="70" w:type="dxa"/>
                    <w:bottom w:w="60" w:type="dxa"/>
                    <w:right w:w="70" w:type="dxa"/>
                  </w:tcMar>
                  <w:vAlign w:val="center"/>
                </w:tcPr>
                <w:p w14:paraId="09B704E6">
                  <w:pPr>
                    <w:spacing w:after="0"/>
                  </w:pPr>
                  <w:r>
                    <w:rPr>
                      <w:sz w:val="14"/>
                    </w:rPr>
                    <w:t>Composite carbone / fibre de verre</w:t>
                  </w:r>
                </w:p>
              </w:tc>
            </w:tr>
            <w:tr w14:paraId="3848F9C7">
              <w:trPr>
                <w:jc w:val="center"/>
              </w:trPr>
              <w:tc>
                <w:tcPr>
                  <w:tcW w:w="2376" w:type="dxa"/>
                  <w:shd w:val="clear" w:color="auto" w:fill="F0F0F0"/>
                  <w:tcMar>
                    <w:top w:w="60" w:type="dxa"/>
                    <w:left w:w="70" w:type="dxa"/>
                    <w:bottom w:w="60" w:type="dxa"/>
                    <w:right w:w="70" w:type="dxa"/>
                  </w:tcMar>
                  <w:vAlign w:val="center"/>
                </w:tcPr>
                <w:p w14:paraId="10C6955E">
                  <w:pPr>
                    <w:spacing w:after="0"/>
                  </w:pPr>
                  <w:r>
                    <w:rPr>
                      <w:b/>
                      <w:color w:val="373737"/>
                      <w:sz w:val="14"/>
                    </w:rPr>
                    <w:t>Hydrofoils</w:t>
                  </w:r>
                </w:p>
              </w:tc>
              <w:tc>
                <w:tcPr>
                  <w:tcW w:w="2664" w:type="dxa"/>
                  <w:shd w:val="clear" w:color="auto" w:fill="FAFAFA"/>
                  <w:tcMar>
                    <w:top w:w="60" w:type="dxa"/>
                    <w:left w:w="70" w:type="dxa"/>
                    <w:bottom w:w="60" w:type="dxa"/>
                    <w:right w:w="70" w:type="dxa"/>
                  </w:tcMar>
                  <w:vAlign w:val="center"/>
                </w:tcPr>
                <w:p w14:paraId="45FD4035">
                  <w:pPr>
                    <w:spacing w:after="0"/>
                  </w:pPr>
                  <w:r>
                    <w:rPr>
                      <w:sz w:val="14"/>
                    </w:rPr>
                    <w:t>Carbone composite – architecture rétractable visée</w:t>
                  </w:r>
                </w:p>
              </w:tc>
            </w:tr>
            <w:tr w14:paraId="29DC9C58">
              <w:trPr>
                <w:jc w:val="center"/>
              </w:trPr>
              <w:tc>
                <w:tcPr>
                  <w:tcW w:w="2376" w:type="dxa"/>
                  <w:shd w:val="clear" w:color="auto" w:fill="F0F0F0"/>
                  <w:tcMar>
                    <w:top w:w="60" w:type="dxa"/>
                    <w:left w:w="70" w:type="dxa"/>
                    <w:bottom w:w="60" w:type="dxa"/>
                    <w:right w:w="70" w:type="dxa"/>
                  </w:tcMar>
                  <w:vAlign w:val="center"/>
                </w:tcPr>
                <w:p w14:paraId="1F8FEB6E">
                  <w:pPr>
                    <w:spacing w:after="0"/>
                  </w:pPr>
                  <w:r>
                    <w:rPr>
                      <w:b/>
                      <w:color w:val="373737"/>
                      <w:sz w:val="14"/>
                    </w:rPr>
                    <w:t>Propulsion</w:t>
                  </w:r>
                </w:p>
              </w:tc>
              <w:tc>
                <w:tcPr>
                  <w:tcW w:w="2664" w:type="dxa"/>
                  <w:shd w:val="clear" w:color="auto" w:fill="FAFAFA"/>
                  <w:tcMar>
                    <w:top w:w="60" w:type="dxa"/>
                    <w:left w:w="70" w:type="dxa"/>
                    <w:bottom w:w="60" w:type="dxa"/>
                    <w:right w:w="70" w:type="dxa"/>
                  </w:tcMar>
                  <w:vAlign w:val="center"/>
                </w:tcPr>
                <w:p w14:paraId="5DE4B003">
                  <w:pPr>
                    <w:spacing w:after="0"/>
                  </w:pPr>
                  <w:r>
                    <w:rPr>
                      <w:sz w:val="14"/>
                    </w:rPr>
                    <w:t>100 % électrique</w:t>
                  </w:r>
                </w:p>
              </w:tc>
            </w:tr>
          </w:tbl>
          <w:p w14:paraId="0F19B248"/>
        </w:tc>
        <w:tc>
          <w:tcPr>
            <w:tcW w:w="5112" w:type="dxa"/>
            <w:tcMar>
              <w:top w:w="0" w:type="dxa"/>
              <w:left w:w="0" w:type="dxa"/>
              <w:bottom w:w="0" w:type="dxa"/>
              <w:right w:w="0" w:type="dxa"/>
            </w:tcMar>
          </w:tcPr>
          <w:p w14:paraId="45949012"/>
          <w:tbl>
            <w:tblPr>
              <w:tblStyle w:val="12"/>
              <w:tblW w:w="0" w:type="auto"/>
              <w:jc w:val="center"/>
              <w:tblBorders>
                <w:top w:val="single" w:color="D0D0D0" w:sz="2" w:space="0"/>
                <w:left w:val="single" w:color="D0D0D0" w:sz="2" w:space="0"/>
                <w:bottom w:val="single" w:color="D0D0D0" w:sz="2" w:space="0"/>
                <w:right w:val="single" w:color="D0D0D0" w:sz="2" w:space="0"/>
                <w:insideH w:val="single" w:color="D0D0D0" w:sz="2" w:space="0"/>
                <w:insideV w:val="single" w:color="D0D0D0" w:sz="2" w:space="0"/>
              </w:tblBorders>
              <w:tblLayout w:type="fixed"/>
              <w:tblCellMar>
                <w:top w:w="0" w:type="dxa"/>
                <w:left w:w="108" w:type="dxa"/>
                <w:bottom w:w="0" w:type="dxa"/>
                <w:right w:w="108" w:type="dxa"/>
              </w:tblCellMar>
            </w:tblPr>
            <w:tblGrid>
              <w:gridCol w:w="2556"/>
              <w:gridCol w:w="2556"/>
            </w:tblGrid>
            <w:tr w14:paraId="3D73A89E">
              <w:trPr>
                <w:jc w:val="center"/>
              </w:trPr>
              <w:tc>
                <w:tcPr>
                  <w:tcW w:w="2376" w:type="dxa"/>
                  <w:shd w:val="clear" w:color="auto" w:fill="F0F0F0"/>
                  <w:tcMar>
                    <w:top w:w="60" w:type="dxa"/>
                    <w:left w:w="70" w:type="dxa"/>
                    <w:bottom w:w="60" w:type="dxa"/>
                    <w:right w:w="70" w:type="dxa"/>
                  </w:tcMar>
                  <w:vAlign w:val="center"/>
                </w:tcPr>
                <w:p w14:paraId="593930AE">
                  <w:pPr>
                    <w:spacing w:after="0"/>
                  </w:pPr>
                  <w:r>
                    <w:rPr>
                      <w:b/>
                      <w:color w:val="373737"/>
                      <w:sz w:val="14"/>
                    </w:rPr>
                    <w:t>Puissance moteur cible</w:t>
                  </w:r>
                </w:p>
              </w:tc>
              <w:tc>
                <w:tcPr>
                  <w:tcW w:w="2664" w:type="dxa"/>
                  <w:shd w:val="clear" w:color="auto" w:fill="FAFAFA"/>
                  <w:tcMar>
                    <w:top w:w="60" w:type="dxa"/>
                    <w:left w:w="70" w:type="dxa"/>
                    <w:bottom w:w="60" w:type="dxa"/>
                    <w:right w:w="70" w:type="dxa"/>
                  </w:tcMar>
                  <w:vAlign w:val="center"/>
                </w:tcPr>
                <w:p w14:paraId="1D35FF2C">
                  <w:pPr>
                    <w:spacing w:after="0"/>
                  </w:pPr>
                  <w:r>
                    <w:rPr>
                      <w:sz w:val="14"/>
                    </w:rPr>
                    <w:t>50–80 kW</w:t>
                  </w:r>
                </w:p>
              </w:tc>
            </w:tr>
            <w:tr w14:paraId="7321E058">
              <w:trPr>
                <w:jc w:val="center"/>
              </w:trPr>
              <w:tc>
                <w:tcPr>
                  <w:tcW w:w="2376" w:type="dxa"/>
                  <w:shd w:val="clear" w:color="auto" w:fill="F0F0F0"/>
                  <w:tcMar>
                    <w:top w:w="60" w:type="dxa"/>
                    <w:left w:w="70" w:type="dxa"/>
                    <w:bottom w:w="60" w:type="dxa"/>
                    <w:right w:w="70" w:type="dxa"/>
                  </w:tcMar>
                  <w:vAlign w:val="center"/>
                </w:tcPr>
                <w:p w14:paraId="58176883">
                  <w:pPr>
                    <w:spacing w:after="0"/>
                  </w:pPr>
                  <w:r>
                    <w:rPr>
                      <w:b/>
                      <w:color w:val="373737"/>
                      <w:sz w:val="14"/>
                    </w:rPr>
                    <w:t>Capacité batterie cible</w:t>
                  </w:r>
                </w:p>
              </w:tc>
              <w:tc>
                <w:tcPr>
                  <w:tcW w:w="2664" w:type="dxa"/>
                  <w:shd w:val="clear" w:color="auto" w:fill="FAFAFA"/>
                  <w:tcMar>
                    <w:top w:w="60" w:type="dxa"/>
                    <w:left w:w="70" w:type="dxa"/>
                    <w:bottom w:w="60" w:type="dxa"/>
                    <w:right w:w="70" w:type="dxa"/>
                  </w:tcMar>
                  <w:vAlign w:val="center"/>
                </w:tcPr>
                <w:p w14:paraId="10D655AC">
                  <w:pPr>
                    <w:spacing w:after="0"/>
                  </w:pPr>
                  <w:r>
                    <w:rPr>
                      <w:sz w:val="14"/>
                    </w:rPr>
                    <w:t>70–85 kWh</w:t>
                  </w:r>
                </w:p>
              </w:tc>
            </w:tr>
            <w:tr w14:paraId="0C7E5F36">
              <w:trPr>
                <w:jc w:val="center"/>
              </w:trPr>
              <w:tc>
                <w:tcPr>
                  <w:tcW w:w="2376" w:type="dxa"/>
                  <w:shd w:val="clear" w:color="auto" w:fill="F0F0F0"/>
                  <w:tcMar>
                    <w:top w:w="60" w:type="dxa"/>
                    <w:left w:w="70" w:type="dxa"/>
                    <w:bottom w:w="60" w:type="dxa"/>
                    <w:right w:w="70" w:type="dxa"/>
                  </w:tcMar>
                  <w:vAlign w:val="center"/>
                </w:tcPr>
                <w:p w14:paraId="3AA62A04">
                  <w:pPr>
                    <w:spacing w:after="0"/>
                  </w:pPr>
                  <w:r>
                    <w:rPr>
                      <w:b/>
                      <w:color w:val="373737"/>
                      <w:sz w:val="14"/>
                    </w:rPr>
                    <w:t>Croisière sur foils – cible</w:t>
                  </w:r>
                </w:p>
              </w:tc>
              <w:tc>
                <w:tcPr>
                  <w:tcW w:w="2664" w:type="dxa"/>
                  <w:shd w:val="clear" w:color="auto" w:fill="FAFAFA"/>
                  <w:tcMar>
                    <w:top w:w="60" w:type="dxa"/>
                    <w:left w:w="70" w:type="dxa"/>
                    <w:bottom w:w="60" w:type="dxa"/>
                    <w:right w:w="70" w:type="dxa"/>
                  </w:tcMar>
                  <w:vAlign w:val="center"/>
                </w:tcPr>
                <w:p w14:paraId="40CC9DF3">
                  <w:pPr>
                    <w:spacing w:after="0"/>
                  </w:pPr>
                  <w:r>
                    <w:rPr>
                      <w:sz w:val="14"/>
                    </w:rPr>
                    <w:t>20–22 nœuds</w:t>
                  </w:r>
                </w:p>
              </w:tc>
            </w:tr>
            <w:tr w14:paraId="41BE0500">
              <w:trPr>
                <w:jc w:val="center"/>
              </w:trPr>
              <w:tc>
                <w:tcPr>
                  <w:tcW w:w="2376" w:type="dxa"/>
                  <w:shd w:val="clear" w:color="auto" w:fill="F0F0F0"/>
                  <w:tcMar>
                    <w:top w:w="60" w:type="dxa"/>
                    <w:left w:w="70" w:type="dxa"/>
                    <w:bottom w:w="60" w:type="dxa"/>
                    <w:right w:w="70" w:type="dxa"/>
                  </w:tcMar>
                  <w:vAlign w:val="center"/>
                </w:tcPr>
                <w:p w14:paraId="7C182352">
                  <w:pPr>
                    <w:spacing w:after="0"/>
                  </w:pPr>
                  <w:r>
                    <w:rPr>
                      <w:b/>
                      <w:color w:val="373737"/>
                      <w:sz w:val="14"/>
                    </w:rPr>
                    <w:t>Vitesse maximale – cible</w:t>
                  </w:r>
                </w:p>
              </w:tc>
              <w:tc>
                <w:tcPr>
                  <w:tcW w:w="2664" w:type="dxa"/>
                  <w:shd w:val="clear" w:color="auto" w:fill="FAFAFA"/>
                  <w:tcMar>
                    <w:top w:w="60" w:type="dxa"/>
                    <w:left w:w="70" w:type="dxa"/>
                    <w:bottom w:w="60" w:type="dxa"/>
                    <w:right w:w="70" w:type="dxa"/>
                  </w:tcMar>
                  <w:vAlign w:val="center"/>
                </w:tcPr>
                <w:p w14:paraId="751100BB">
                  <w:pPr>
                    <w:spacing w:after="0"/>
                  </w:pPr>
                  <w:r>
                    <w:rPr>
                      <w:sz w:val="14"/>
                    </w:rPr>
                    <w:t>27–30 nœuds</w:t>
                  </w:r>
                </w:p>
              </w:tc>
            </w:tr>
            <w:tr w14:paraId="55A1E7F0">
              <w:trPr>
                <w:jc w:val="center"/>
              </w:trPr>
              <w:tc>
                <w:tcPr>
                  <w:tcW w:w="2376" w:type="dxa"/>
                  <w:shd w:val="clear" w:color="auto" w:fill="F0F0F0"/>
                  <w:tcMar>
                    <w:top w:w="60" w:type="dxa"/>
                    <w:left w:w="70" w:type="dxa"/>
                    <w:bottom w:w="60" w:type="dxa"/>
                    <w:right w:w="70" w:type="dxa"/>
                  </w:tcMar>
                  <w:vAlign w:val="center"/>
                </w:tcPr>
                <w:p w14:paraId="0EFBAB00">
                  <w:pPr>
                    <w:spacing w:after="0"/>
                  </w:pPr>
                  <w:r>
                    <w:rPr>
                      <w:b/>
                      <w:color w:val="373737"/>
                      <w:sz w:val="14"/>
                    </w:rPr>
                    <w:t>Autonomie – cible</w:t>
                  </w:r>
                </w:p>
              </w:tc>
              <w:tc>
                <w:tcPr>
                  <w:tcW w:w="2664" w:type="dxa"/>
                  <w:shd w:val="clear" w:color="auto" w:fill="FAFAFA"/>
                  <w:tcMar>
                    <w:top w:w="60" w:type="dxa"/>
                    <w:left w:w="70" w:type="dxa"/>
                    <w:bottom w:w="60" w:type="dxa"/>
                    <w:right w:w="70" w:type="dxa"/>
                  </w:tcMar>
                  <w:vAlign w:val="center"/>
                </w:tcPr>
                <w:p w14:paraId="7D6FD92C">
                  <w:pPr>
                    <w:spacing w:after="0"/>
                  </w:pPr>
                  <w:r>
                    <w:rPr>
                      <w:sz w:val="14"/>
                    </w:rPr>
                    <w:t>45–60 milles nautiques</w:t>
                  </w:r>
                </w:p>
              </w:tc>
            </w:tr>
            <w:tr w14:paraId="7D1BA60F">
              <w:trPr>
                <w:jc w:val="center"/>
              </w:trPr>
              <w:tc>
                <w:tcPr>
                  <w:tcW w:w="2376" w:type="dxa"/>
                  <w:shd w:val="clear" w:color="auto" w:fill="F0F0F0"/>
                  <w:tcMar>
                    <w:top w:w="60" w:type="dxa"/>
                    <w:left w:w="70" w:type="dxa"/>
                    <w:bottom w:w="60" w:type="dxa"/>
                    <w:right w:w="70" w:type="dxa"/>
                  </w:tcMar>
                  <w:vAlign w:val="center"/>
                </w:tcPr>
                <w:p w14:paraId="4512D2D8">
                  <w:pPr>
                    <w:spacing w:after="0"/>
                  </w:pPr>
                  <w:r>
                    <w:rPr>
                      <w:b/>
                      <w:color w:val="373737"/>
                      <w:sz w:val="14"/>
                    </w:rPr>
                    <w:t>Recharge AC</w:t>
                  </w:r>
                </w:p>
              </w:tc>
              <w:tc>
                <w:tcPr>
                  <w:tcW w:w="2664" w:type="dxa"/>
                  <w:shd w:val="clear" w:color="auto" w:fill="FAFAFA"/>
                  <w:tcMar>
                    <w:top w:w="60" w:type="dxa"/>
                    <w:left w:w="70" w:type="dxa"/>
                    <w:bottom w:w="60" w:type="dxa"/>
                    <w:right w:w="70" w:type="dxa"/>
                  </w:tcMar>
                  <w:vAlign w:val="center"/>
                </w:tcPr>
                <w:p w14:paraId="2002E609">
                  <w:pPr>
                    <w:spacing w:after="0"/>
                  </w:pPr>
                  <w:r>
                    <w:rPr>
                      <w:sz w:val="14"/>
                    </w:rPr>
                    <w:t>11–22 kW</w:t>
                  </w:r>
                </w:p>
              </w:tc>
            </w:tr>
            <w:tr w14:paraId="26C1FC04">
              <w:trPr>
                <w:jc w:val="center"/>
              </w:trPr>
              <w:tc>
                <w:tcPr>
                  <w:tcW w:w="2376" w:type="dxa"/>
                  <w:shd w:val="clear" w:color="auto" w:fill="F0F0F0"/>
                  <w:tcMar>
                    <w:top w:w="60" w:type="dxa"/>
                    <w:left w:w="70" w:type="dxa"/>
                    <w:bottom w:w="60" w:type="dxa"/>
                    <w:right w:w="70" w:type="dxa"/>
                  </w:tcMar>
                  <w:vAlign w:val="center"/>
                </w:tcPr>
                <w:p w14:paraId="60A24069">
                  <w:pPr>
                    <w:spacing w:after="0"/>
                  </w:pPr>
                  <w:r>
                    <w:rPr>
                      <w:b/>
                      <w:color w:val="373737"/>
                      <w:sz w:val="14"/>
                    </w:rPr>
                    <w:t>Recharge rapide DC</w:t>
                  </w:r>
                </w:p>
              </w:tc>
              <w:tc>
                <w:tcPr>
                  <w:tcW w:w="2664" w:type="dxa"/>
                  <w:shd w:val="clear" w:color="auto" w:fill="FAFAFA"/>
                  <w:tcMar>
                    <w:top w:w="60" w:type="dxa"/>
                    <w:left w:w="70" w:type="dxa"/>
                    <w:bottom w:w="60" w:type="dxa"/>
                    <w:right w:w="70" w:type="dxa"/>
                  </w:tcMar>
                  <w:vAlign w:val="center"/>
                </w:tcPr>
                <w:p w14:paraId="2460959C">
                  <w:pPr>
                    <w:spacing w:after="0"/>
                  </w:pPr>
                  <w:r>
                    <w:rPr>
                      <w:sz w:val="14"/>
                    </w:rPr>
                    <w:t>À confirmer lors de l’ingénierie finale</w:t>
                  </w:r>
                </w:p>
              </w:tc>
            </w:tr>
            <w:tr w14:paraId="6AB3F96C">
              <w:trPr>
                <w:jc w:val="center"/>
              </w:trPr>
              <w:tc>
                <w:tcPr>
                  <w:tcW w:w="2376" w:type="dxa"/>
                  <w:shd w:val="clear" w:color="auto" w:fill="F0F0F0"/>
                  <w:tcMar>
                    <w:top w:w="60" w:type="dxa"/>
                    <w:left w:w="70" w:type="dxa"/>
                    <w:bottom w:w="60" w:type="dxa"/>
                    <w:right w:w="70" w:type="dxa"/>
                  </w:tcMar>
                  <w:vAlign w:val="center"/>
                </w:tcPr>
                <w:p w14:paraId="786010E3">
                  <w:pPr>
                    <w:spacing w:after="0"/>
                  </w:pPr>
                  <w:r>
                    <w:rPr>
                      <w:b/>
                      <w:color w:val="373737"/>
                      <w:sz w:val="14"/>
                    </w:rPr>
                    <w:t>Émissions directes en navigation</w:t>
                  </w:r>
                </w:p>
              </w:tc>
              <w:tc>
                <w:tcPr>
                  <w:tcW w:w="2664" w:type="dxa"/>
                  <w:shd w:val="clear" w:color="auto" w:fill="FAFAFA"/>
                  <w:tcMar>
                    <w:top w:w="60" w:type="dxa"/>
                    <w:left w:w="70" w:type="dxa"/>
                    <w:bottom w:w="60" w:type="dxa"/>
                    <w:right w:w="70" w:type="dxa"/>
                  </w:tcMar>
                  <w:vAlign w:val="center"/>
                </w:tcPr>
                <w:p w14:paraId="4C128A8F">
                  <w:pPr>
                    <w:spacing w:after="0"/>
                  </w:pPr>
                  <w:r>
                    <w:rPr>
                      <w:sz w:val="14"/>
                    </w:rPr>
                    <w:t>0</w:t>
                  </w:r>
                </w:p>
              </w:tc>
            </w:tr>
          </w:tbl>
          <w:p w14:paraId="7DC83253"/>
        </w:tc>
      </w:tr>
    </w:tbl>
    <w:p w14:paraId="6B8B5C30">
      <w:pPr>
        <w:spacing w:before="60" w:after="60"/>
      </w:pPr>
      <w:r>
        <w:rPr>
          <w:b/>
          <w:color w:val="A01419"/>
          <w:sz w:val="18"/>
        </w:rPr>
        <w:t>ARCHITECTURE &amp; EXPÉRIENCE DE NAVIGATION</w:t>
      </w:r>
    </w:p>
    <w:tbl>
      <w:tblPr>
        <w:tblStyle w:val="12"/>
        <w:tblW w:w="0" w:type="auto"/>
        <w:jc w:val="center"/>
        <w:tblLayout w:type="fixed"/>
        <w:tblCellMar>
          <w:top w:w="0" w:type="dxa"/>
          <w:left w:w="108" w:type="dxa"/>
          <w:bottom w:w="0" w:type="dxa"/>
          <w:right w:w="108" w:type="dxa"/>
        </w:tblCellMar>
      </w:tblPr>
      <w:tblGrid>
        <w:gridCol w:w="3490"/>
        <w:gridCol w:w="3490"/>
        <w:gridCol w:w="3490"/>
      </w:tblGrid>
      <w:tr w14:paraId="1AC2CF1B">
        <w:trPr>
          <w:jc w:val="center"/>
        </w:trPr>
        <w:tc>
          <w:tcPr>
            <w:tcW w:w="3490" w:type="dxa"/>
            <w:shd w:val="clear" w:color="auto" w:fill="181818"/>
            <w:tcMar>
              <w:top w:w="100" w:type="dxa"/>
              <w:left w:w="110" w:type="dxa"/>
              <w:bottom w:w="100" w:type="dxa"/>
              <w:right w:w="110" w:type="dxa"/>
            </w:tcMar>
          </w:tcPr>
          <w:p w14:paraId="4FC88BAA">
            <w:pPr>
              <w:jc w:val="center"/>
            </w:pPr>
            <w:r>
              <w:rPr>
                <w:b/>
                <w:color w:val="FFFFFF"/>
                <w:sz w:val="17"/>
              </w:rPr>
              <w:t>HYDROFOIL</w:t>
            </w:r>
          </w:p>
          <w:p w14:paraId="6ED2820F">
            <w:pPr>
              <w:spacing w:before="40" w:after="0"/>
              <w:jc w:val="center"/>
            </w:pPr>
            <w:r>
              <w:rPr>
                <w:color w:val="DCDCDC"/>
                <w:sz w:val="13"/>
              </w:rPr>
              <w:t>Réduction de la surface mouillée et de la traînée à vitesse de croisière, avec objectif de faible sillage et d’efficience accrue.</w:t>
            </w:r>
          </w:p>
        </w:tc>
        <w:tc>
          <w:tcPr>
            <w:tcW w:w="3490" w:type="dxa"/>
            <w:shd w:val="clear" w:color="auto" w:fill="181818"/>
            <w:tcMar>
              <w:top w:w="100" w:type="dxa"/>
              <w:left w:w="110" w:type="dxa"/>
              <w:bottom w:w="100" w:type="dxa"/>
              <w:right w:w="110" w:type="dxa"/>
            </w:tcMar>
          </w:tcPr>
          <w:p w14:paraId="54B7763D">
            <w:pPr>
              <w:jc w:val="center"/>
            </w:pPr>
            <w:r>
              <w:rPr>
                <w:b/>
                <w:color w:val="FFFFFF"/>
                <w:sz w:val="17"/>
              </w:rPr>
              <w:t>ÉLECTRIQUE</w:t>
            </w:r>
          </w:p>
          <w:p w14:paraId="4B504A03">
            <w:pPr>
              <w:spacing w:before="40" w:after="0"/>
              <w:jc w:val="center"/>
            </w:pPr>
            <w:r>
              <w:rPr>
                <w:color w:val="DCDCDC"/>
                <w:sz w:val="13"/>
              </w:rPr>
              <w:t>Chaîne de propulsion silencieuse, couple instantané et zéro émission directe pendant la navigation.</w:t>
            </w:r>
          </w:p>
        </w:tc>
        <w:tc>
          <w:tcPr>
            <w:tcW w:w="3490" w:type="dxa"/>
            <w:shd w:val="clear" w:color="auto" w:fill="181818"/>
            <w:tcMar>
              <w:top w:w="100" w:type="dxa"/>
              <w:left w:w="110" w:type="dxa"/>
              <w:bottom w:w="100" w:type="dxa"/>
              <w:right w:w="110" w:type="dxa"/>
            </w:tcMar>
          </w:tcPr>
          <w:p w14:paraId="6327D429">
            <w:pPr>
              <w:jc w:val="center"/>
            </w:pPr>
            <w:r>
              <w:rPr>
                <w:b/>
                <w:color w:val="FFFFFF"/>
                <w:sz w:val="17"/>
              </w:rPr>
              <w:t>PREMIUM</w:t>
            </w:r>
          </w:p>
          <w:p w14:paraId="27260745">
            <w:pPr>
              <w:spacing w:before="40" w:after="0"/>
              <w:jc w:val="center"/>
            </w:pPr>
            <w:r>
              <w:rPr>
                <w:color w:val="DCDCDC"/>
                <w:sz w:val="13"/>
              </w:rPr>
              <w:t>Architecture de runabout sportif, matériaux composites et positionnement luxe pour Dubaï, Monaco, Miami, Ibiza et Côte d’Azur.</w:t>
            </w:r>
          </w:p>
        </w:tc>
      </w:tr>
    </w:tbl>
    <w:p w14:paraId="7B81A473">
      <w:pPr>
        <w:spacing w:before="140" w:after="40"/>
        <w:jc w:val="center"/>
      </w:pPr>
      <w:r>
        <w:rPr>
          <w:b/>
          <w:color w:val="A01419"/>
          <w:sz w:val="18"/>
        </w:rPr>
        <w:t>LESSINGER MOTORBOATS  •  DUBAI</w:t>
      </w:r>
    </w:p>
    <w:p w14:paraId="3FC716F2">
      <w:pPr>
        <w:spacing w:before="20" w:after="0"/>
        <w:jc w:val="both"/>
      </w:pPr>
      <w:r>
        <w:rPr>
          <w:b/>
          <w:color w:val="5A5A5A"/>
          <w:sz w:val="12"/>
        </w:rPr>
        <w:t xml:space="preserve">NOTE TECHNIQUE — </w:t>
      </w:r>
      <w:r>
        <w:rPr>
          <w:color w:val="5A5A5A"/>
          <w:sz w:val="12"/>
        </w:rPr>
        <w:t>Les dimensions secondaires, le déplacement, la géométrie des foils, la puissance, la capacité batterie, les vitesses, l’autonomie et les caractéristiques de recharge sont des objectifs de développement. Ils devront être validés par architecture navale, calculs hydrodynamiques/CFD, essais prototype, intégration électrique et certification avant toute présentation comme performances contractuelles ou homologuées.</w:t>
      </w:r>
    </w:p>
    <w:sectPr>
      <w:footerReference r:id="rId5" w:type="default"/>
      <w:pgSz w:w="11909" w:h="16834"/>
      <w:pgMar w:top="547" w:right="720" w:bottom="547" w:left="72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SimHei">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苹方-简"/>
    <w:panose1 w:val="00000000000000000000"/>
    <w:charset w:val="86"/>
    <w:family w:val="auto"/>
    <w:pitch w:val="default"/>
    <w:sig w:usb0="00000000" w:usb1="00000000" w:usb2="00000000" w:usb3="00000000" w:csb0="00000000" w:csb1="00000000"/>
  </w:font>
  <w:font w:name="Cambria">
    <w:altName w:val="苹方-简"/>
    <w:panose1 w:val="02040503050406030204"/>
    <w:charset w:val="00"/>
    <w:family w:val="auto"/>
    <w:pitch w:val="default"/>
    <w:sig w:usb0="00000000" w:usb1="00000000" w:usb2="00000000" w:usb3="00000000" w:csb0="0000019F" w:csb1="00000000"/>
  </w:font>
  <w:font w:name="ＭＳ 明朝">
    <w:altName w:val="Hiragino Sans"/>
    <w:panose1 w:val="00000000000000000000"/>
    <w:charset w:val="80"/>
    <w:family w:val="roman"/>
    <w:pitch w:val="default"/>
    <w:sig w:usb0="00000000" w:usb1="00000000" w:usb2="00000010" w:usb3="00000000" w:csb0="00020000" w:csb1="00000000"/>
  </w:font>
  <w:font w:name="ＭＳ 明朝">
    <w:altName w:val="Hiragino Sans"/>
    <w:panose1 w:val="00000000000000000000"/>
    <w:charset w:val="86"/>
    <w:family w:val="auto"/>
    <w:pitch w:val="default"/>
    <w:sig w:usb0="00000000" w:usb1="00000000" w:usb2="00000000" w:usb3="00000000" w:csb0="00000000" w:csb1="00000000"/>
  </w:font>
  <w:font w:name="Aptos">
    <w:altName w:val="Helvetica Neue"/>
    <w:panose1 w:val="00000000000000000000"/>
    <w:charset w:val="00"/>
    <w:family w:val="auto"/>
    <w:pitch w:val="default"/>
    <w:sig w:usb0="00000000" w:usb1="00000000" w:usb2="00000000" w:usb3="00000000" w:csb0="00000000" w:csb1="00000000"/>
  </w:font>
  <w:font w:name="ＭＳ ゴシック">
    <w:altName w:val="Hiragino Sans"/>
    <w:panose1 w:val="00000000000000000000"/>
    <w:charset w:val="80"/>
    <w:family w:val="modern"/>
    <w:pitch w:val="default"/>
    <w:sig w:usb0="00000000" w:usb1="00000000" w:usb2="00000010" w:usb3="00000000" w:csb0="00020000" w:csb1="00000000"/>
  </w:font>
  <w:font w:name="Symbol">
    <w:altName w:val="Kingsoft Sign"/>
    <w:panose1 w:val="00000000000000000000"/>
    <w:charset w:val="02"/>
    <w:family w:val="auto"/>
    <w:pitch w:val="default"/>
    <w:sig w:usb0="00000000" w:usb1="00000000" w:usb2="00000000" w:usb3="00000000" w:csb0="80000000" w:csb1="00000000"/>
  </w:font>
  <w:font w:name="Courier">
    <w:altName w:val="苹方-简"/>
    <w:panose1 w:val="02000500000000000000"/>
    <w:charset w:val="00"/>
    <w:family w:val="auto"/>
    <w:pitch w:val="default"/>
    <w:sig w:usb0="00000000" w:usb1="00000000" w:usb2="00000000" w:usb3="00000000" w:csb0="00000001" w:csb1="00000000"/>
  </w:font>
  <w:font w:name="Aptos Display">
    <w:altName w:val="Helvetica Neue"/>
    <w:panose1 w:val="00000000000000000000"/>
    <w:charset w:val="00"/>
    <w:family w:val="auto"/>
    <w:pitch w:val="default"/>
    <w:sig w:usb0="00000000" w:usb1="00000000" w:usb2="00000000" w:usb3="00000000" w:csb0="00000000" w:csb1="00000000"/>
  </w:font>
  <w:font w:name="ＭＳ 明朝">
    <w:altName w:val="Hiragino Sans"/>
    <w:panose1 w:val="00000000000000000000"/>
    <w:charset w:val="00"/>
    <w:family w:val="auto"/>
    <w:pitch w:val="default"/>
    <w:sig w:usb0="00000000" w:usb1="00000000" w:usb2="00000000" w:usb3="00000000" w:csb0="00000000" w:csb1="00000000"/>
  </w:font>
  <w:font w:name="Hiragino Sans">
    <w:panose1 w:val="020B0300000000000000"/>
    <w:charset w:val="80"/>
    <w:family w:val="auto"/>
    <w:pitch w:val="default"/>
    <w:sig w:usb0="E00002FF" w:usb1="7AE7FFFF" w:usb2="00000012" w:usb3="00000000" w:csb0="0002000D" w:csb1="00000000"/>
  </w:font>
  <w:font w:name="Helvetica Neue">
    <w:panose1 w:val="02000503000000020004"/>
    <w:charset w:val="00"/>
    <w:family w:val="auto"/>
    <w:pitch w:val="default"/>
    <w:sig w:usb0="E50002FF" w:usb1="500079DB" w:usb2="00000010" w:usb3="00000000" w:csb0="00000000" w:csb1="00000000"/>
  </w:font>
  <w:font w:name="苹方-简">
    <w:panose1 w:val="020B0400000000000000"/>
    <w:charset w:val="86"/>
    <w:family w:val="auto"/>
    <w:pitch w:val="default"/>
    <w:sig w:usb0="A00002FF" w:usb1="7ACFFDFB" w:usb2="00000017" w:usb3="00000000" w:csb0="00040001" w:csb1="00000000"/>
  </w:font>
  <w:font w:name="ＭＳ ゴシック">
    <w:altName w:val="苹方-简"/>
    <w:panose1 w:val="00000000000000000000"/>
    <w:charset w:val="00"/>
    <w:family w:val="auto"/>
    <w:pitch w:val="default"/>
    <w:sig w:usb0="00000000" w:usb1="00000000" w:usb2="00000000" w:usb3="00000000" w:csb0="00000000" w:csb1="00000000"/>
  </w:font>
  <w:font w:name="宋体-简">
    <w:panose1 w:val="02010800040101010101"/>
    <w:charset w:val="86"/>
    <w:family w:val="auto"/>
    <w:pitch w:val="default"/>
    <w:sig w:usb0="00000001" w:usb1="080F0000" w:usb2="00000000"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0439D">
    <w:pPr>
      <w:pStyle w:val="18"/>
      <w:jc w:val="center"/>
    </w:pPr>
    <w:r>
      <w:rPr>
        <w:color w:val="787878"/>
        <w:sz w:val="11"/>
      </w:rPr>
      <w:t>Benchmark technologique : Foilone Pegasus • Base projet : dossier LESSINGER Racing Foil / Motorboat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9"/>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FF7FB4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Aptos" w:hAnsi="Aptos" w:eastAsiaTheme="minorEastAsia" w:cstheme="minorBidi"/>
      <w:color w:val="232323"/>
      <w:sz w:val="16"/>
      <w:szCs w:val="22"/>
      <w:lang w:val="en-US" w:eastAsia="en-US" w:bidi="ar-SA"/>
    </w:rPr>
  </w:style>
  <w:style w:type="paragraph" w:styleId="2">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ody Text"/>
    <w:basedOn w:val="1"/>
    <w:link w:val="144"/>
    <w:unhideWhenUsed/>
    <w:uiPriority w:val="99"/>
    <w:pPr>
      <w:spacing w:after="120"/>
    </w:pPr>
  </w:style>
  <w:style w:type="paragraph" w:styleId="14">
    <w:name w:val="Body Text 2"/>
    <w:basedOn w:val="1"/>
    <w:link w:val="145"/>
    <w:unhideWhenUsed/>
    <w:uiPriority w:val="99"/>
    <w:pPr>
      <w:spacing w:after="120" w:line="480" w:lineRule="auto"/>
    </w:pPr>
  </w:style>
  <w:style w:type="paragraph" w:styleId="15">
    <w:name w:val="Body Text 3"/>
    <w:basedOn w:val="1"/>
    <w:link w:val="146"/>
    <w:unhideWhenUsed/>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6"/>
    <w:unhideWhenUsed/>
    <w:uiPriority w:val="99"/>
    <w:pPr>
      <w:tabs>
        <w:tab w:val="center" w:pos="4680"/>
        <w:tab w:val="right" w:pos="9360"/>
      </w:tabs>
      <w:spacing w:after="0" w:line="240" w:lineRule="auto"/>
    </w:pPr>
  </w:style>
  <w:style w:type="paragraph" w:styleId="19">
    <w:name w:val="header"/>
    <w:basedOn w:val="1"/>
    <w:link w:val="135"/>
    <w:unhideWhenUsed/>
    <w:uiPriority w:val="99"/>
    <w:pPr>
      <w:tabs>
        <w:tab w:val="center" w:pos="4680"/>
        <w:tab w:val="right" w:pos="9360"/>
      </w:tabs>
      <w:spacing w:after="0" w:line="240" w:lineRule="auto"/>
    </w:pPr>
  </w:style>
  <w:style w:type="paragraph" w:styleId="20">
    <w:name w:val="List"/>
    <w:basedOn w:val="1"/>
    <w:unhideWhenUsed/>
    <w:uiPriority w:val="99"/>
    <w:pPr>
      <w:ind w:left="360" w:hanging="360"/>
      <w:contextualSpacing/>
    </w:pPr>
  </w:style>
  <w:style w:type="paragraph" w:styleId="21">
    <w:name w:val="List 2"/>
    <w:basedOn w:val="1"/>
    <w:unhideWhenUsed/>
    <w:uiPriority w:val="99"/>
    <w:pPr>
      <w:ind w:left="720" w:hanging="360"/>
      <w:contextualSpacing/>
    </w:pPr>
  </w:style>
  <w:style w:type="paragraph" w:styleId="22">
    <w:name w:val="List 3"/>
    <w:basedOn w:val="1"/>
    <w:unhideWhenUsed/>
    <w:uiPriority w:val="99"/>
    <w:pPr>
      <w:ind w:left="1080" w:hanging="360"/>
      <w:contextualSpacing/>
    </w:pPr>
  </w:style>
  <w:style w:type="paragraph" w:styleId="23">
    <w:name w:val="List Bullet"/>
    <w:basedOn w:val="1"/>
    <w:unhideWhenUsed/>
    <w:uiPriority w:val="99"/>
    <w:pPr>
      <w:numPr>
        <w:ilvl w:val="0"/>
        <w:numId w:val="1"/>
      </w:numPr>
      <w:contextualSpacing/>
    </w:pPr>
  </w:style>
  <w:style w:type="paragraph" w:styleId="24">
    <w:name w:val="List Bullet 2"/>
    <w:basedOn w:val="1"/>
    <w:unhideWhenUsed/>
    <w:uiPriority w:val="99"/>
    <w:pPr>
      <w:numPr>
        <w:ilvl w:val="0"/>
        <w:numId w:val="2"/>
      </w:numPr>
      <w:contextualSpacing/>
    </w:pPr>
  </w:style>
  <w:style w:type="paragraph" w:styleId="25">
    <w:name w:val="List Bullet 3"/>
    <w:basedOn w:val="1"/>
    <w:unhideWhenUsed/>
    <w:uiPriority w:val="99"/>
    <w:pPr>
      <w:numPr>
        <w:ilvl w:val="0"/>
        <w:numId w:val="3"/>
      </w:numPr>
      <w:contextualSpacing/>
    </w:pPr>
  </w:style>
  <w:style w:type="paragraph" w:styleId="26">
    <w:name w:val="List Continue"/>
    <w:basedOn w:val="1"/>
    <w:unhideWhenUsed/>
    <w:uiPriority w:val="99"/>
    <w:pPr>
      <w:spacing w:after="120"/>
      <w:ind w:left="360"/>
      <w:contextualSpacing/>
    </w:pPr>
  </w:style>
  <w:style w:type="paragraph" w:styleId="27">
    <w:name w:val="List Continue 2"/>
    <w:basedOn w:val="1"/>
    <w:unhideWhenUsed/>
    <w:uiPriority w:val="99"/>
    <w:pPr>
      <w:spacing w:after="120"/>
      <w:ind w:left="720"/>
      <w:contextualSpacing/>
    </w:pPr>
  </w:style>
  <w:style w:type="paragraph" w:styleId="28">
    <w:name w:val="List Continue 3"/>
    <w:basedOn w:val="1"/>
    <w:unhideWhenUsed/>
    <w:uiPriority w:val="99"/>
    <w:pPr>
      <w:spacing w:after="120"/>
      <w:ind w:left="1080"/>
      <w:contextualSpacing/>
    </w:pPr>
  </w:style>
  <w:style w:type="paragraph" w:styleId="29">
    <w:name w:val="List Number"/>
    <w:basedOn w:val="1"/>
    <w:unhideWhenUsed/>
    <w:uiPriority w:val="99"/>
    <w:pPr>
      <w:numPr>
        <w:ilvl w:val="0"/>
        <w:numId w:val="4"/>
      </w:numPr>
      <w:contextualSpacing/>
    </w:pPr>
  </w:style>
  <w:style w:type="paragraph" w:styleId="30">
    <w:name w:val="List Number 2"/>
    <w:basedOn w:val="1"/>
    <w:unhideWhenUsed/>
    <w:uiPriority w:val="99"/>
    <w:pPr>
      <w:numPr>
        <w:ilvl w:val="0"/>
        <w:numId w:val="5"/>
      </w:numPr>
      <w:contextualSpacing/>
    </w:pPr>
  </w:style>
  <w:style w:type="paragraph" w:styleId="31">
    <w:name w:val="List Number 3"/>
    <w:basedOn w:val="1"/>
    <w:unhideWhenUsed/>
    <w:uiPriority w:val="99"/>
    <w:pPr>
      <w:numPr>
        <w:ilvl w:val="0"/>
        <w:numId w:val="6"/>
      </w:numPr>
      <w:contextualSpacing/>
    </w:pPr>
  </w:style>
  <w:style w:type="paragraph" w:styleId="3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3">
    <w:name w:val="Strong"/>
    <w:basedOn w:val="11"/>
    <w:qFormat/>
    <w:uiPriority w:val="22"/>
    <w:rPr>
      <w:b/>
      <w:bCs/>
    </w:rPr>
  </w:style>
  <w:style w:type="paragraph" w:styleId="34">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5">
    <w:name w:val="Table Grid"/>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7">
    <w:name w:val="Light Shading"/>
    <w:basedOn w:val="1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1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1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1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1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1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1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1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1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1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1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1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1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1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1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1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1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1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1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1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1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1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1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1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1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1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1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1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1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1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1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1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1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1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1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1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1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1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1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1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1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1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1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1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1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1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5">
    <w:name w:val="Header Char"/>
    <w:basedOn w:val="11"/>
    <w:link w:val="19"/>
    <w:uiPriority w:val="99"/>
  </w:style>
  <w:style w:type="character" w:customStyle="1" w:styleId="136">
    <w:name w:val="Footer Char"/>
    <w:basedOn w:val="11"/>
    <w:link w:val="18"/>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1"/>
    <w:link w:val="2"/>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1"/>
    <w:link w:val="3"/>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1"/>
    <w:link w:val="4"/>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1"/>
    <w:link w:val="36"/>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1"/>
    <w:link w:val="34"/>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1"/>
    <w:link w:val="13"/>
    <w:uiPriority w:val="99"/>
  </w:style>
  <w:style w:type="character" w:customStyle="1" w:styleId="145">
    <w:name w:val="Body Text 2 Char"/>
    <w:basedOn w:val="11"/>
    <w:link w:val="14"/>
    <w:uiPriority w:val="99"/>
  </w:style>
  <w:style w:type="character" w:customStyle="1" w:styleId="146">
    <w:name w:val="Body Text 3 Char"/>
    <w:basedOn w:val="11"/>
    <w:link w:val="15"/>
    <w:uiPriority w:val="99"/>
    <w:rPr>
      <w:sz w:val="16"/>
      <w:szCs w:val="16"/>
    </w:rPr>
  </w:style>
  <w:style w:type="character" w:customStyle="1" w:styleId="147">
    <w:name w:val="Macro Text Char"/>
    <w:basedOn w:val="11"/>
    <w:link w:val="3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1"/>
    <w:link w:val="148"/>
    <w:uiPriority w:val="29"/>
    <w:rPr>
      <w:i/>
      <w:iCs/>
      <w:color w:val="000000" w:themeColor="text1"/>
      <w14:textFill>
        <w14:solidFill>
          <w14:schemeClr w14:val="tx1"/>
        </w14:solidFill>
      </w14:textFill>
    </w:rPr>
  </w:style>
  <w:style w:type="character" w:customStyle="1" w:styleId="150">
    <w:name w:val="Heading 4 Char"/>
    <w:basedOn w:val="11"/>
    <w:link w:val="5"/>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1"/>
    <w:link w:val="6"/>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1"/>
    <w:link w:val="7"/>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1"/>
    <w:link w:val="8"/>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1"/>
    <w:link w:val="9"/>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1"/>
    <w:link w:val="10"/>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1"/>
    <w:link w:val="156"/>
    <w:uiPriority w:val="30"/>
    <w:rPr>
      <w:b/>
      <w:bCs/>
      <w:i/>
      <w:iCs/>
      <w:color w:val="4F81BD" w:themeColor="accent1"/>
      <w14:textFill>
        <w14:solidFill>
          <w14:schemeClr w14:val="accent1"/>
        </w14:solidFill>
      </w14:textFill>
    </w:rPr>
  </w:style>
  <w:style w:type="character" w:customStyle="1" w:styleId="158">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1"/>
    <w:qFormat/>
    <w:uiPriority w:val="21"/>
    <w:rPr>
      <w:b/>
      <w:bCs/>
      <w:i/>
      <w:iCs/>
      <w:color w:val="4F81BD" w:themeColor="accent1"/>
      <w14:textFill>
        <w14:solidFill>
          <w14:schemeClr w14:val="accent1"/>
        </w14:solidFill>
      </w14:textFill>
    </w:rPr>
  </w:style>
  <w:style w:type="character" w:customStyle="1" w:styleId="160">
    <w:name w:val="Subtle Reference"/>
    <w:basedOn w:val="11"/>
    <w:qFormat/>
    <w:uiPriority w:val="31"/>
    <w:rPr>
      <w:smallCaps/>
      <w:color w:val="C0504D" w:themeColor="accent2"/>
      <w:u w:val="single"/>
      <w14:textFill>
        <w14:solidFill>
          <w14:schemeClr w14:val="accent2"/>
        </w14:solidFill>
      </w14:textFill>
    </w:rPr>
  </w:style>
  <w:style w:type="character" w:customStyle="1" w:styleId="161">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1"/>
    <w:qFormat/>
    <w:uiPriority w:val="33"/>
    <w:rPr>
      <w:b/>
      <w:bCs/>
      <w:smallCaps/>
      <w:spacing w:val="5"/>
    </w:rPr>
  </w:style>
  <w:style w:type="paragraph" w:customStyle="1" w:styleId="163">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APA" SelectedStyle="/APA.XSL"/>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Office_12.1.26050.26050_F1E327BC-269C-435d-A152-05C5408002CA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2013-12-24T00:15:00Z</dcterms:created>
  <dc:creator>python-docx</dc:creator>
  <dc:description>generated by python-docx</dc:description>
  <cp:lastModifiedBy>WPS_1785837385</cp:lastModifiedBy>
  <dcterms:modified xsi:type="dcterms:W3CDTF">2026-08-20T08:46:25Z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1033-12.1.26050.26050</vt:lpwstr>
  </property>
  <property fmtid="{D5CDD505-2E9C-101B-9397-08002B2CF9AE}" pid="3" name="ICV">
    <vt:lpwstr>3D8347881DA834FEC1A2866A29AF2041_42</vt:lpwstr>
  </property>
</Properties>
</file>